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128A8" w14:textId="03B1BE4E" w:rsidR="00E24E53" w:rsidRPr="0055599B" w:rsidRDefault="00E24E53" w:rsidP="00D62B80">
      <w:pPr>
        <w:pStyle w:val="Title"/>
        <w:spacing w:before="5640" w:after="5160"/>
      </w:pPr>
      <w:r w:rsidRPr="0055599B">
        <w:t>Debt Recovery Policy for Adult Social Care</w:t>
      </w:r>
    </w:p>
    <w:p w14:paraId="158C8608" w14:textId="6AA16588" w:rsidR="00E24E53" w:rsidRPr="00131017" w:rsidRDefault="00D9748E" w:rsidP="00AE6656">
      <w:pPr>
        <w:pStyle w:val="Subtitle"/>
      </w:pPr>
      <w:r w:rsidRPr="00131017">
        <w:t>July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150"/>
        <w:gridCol w:w="6589"/>
      </w:tblGrid>
      <w:tr w:rsidR="006409A1" w:rsidRPr="006115F8" w14:paraId="72CFFAAF" w14:textId="77777777" w:rsidTr="0064369C">
        <w:trPr>
          <w:trHeight w:val="454"/>
        </w:trPr>
        <w:tc>
          <w:tcPr>
            <w:tcW w:w="1617" w:type="pct"/>
            <w:tcBorders>
              <w:top w:val="single" w:sz="4" w:space="0" w:color="auto"/>
              <w:left w:val="single" w:sz="4" w:space="0" w:color="auto"/>
              <w:bottom w:val="single" w:sz="4" w:space="0" w:color="auto"/>
              <w:right w:val="single" w:sz="4" w:space="0" w:color="auto"/>
            </w:tcBorders>
            <w:vAlign w:val="center"/>
            <w:hideMark/>
          </w:tcPr>
          <w:p w14:paraId="38FA7429" w14:textId="77777777" w:rsidR="006409A1" w:rsidRPr="006115F8" w:rsidRDefault="006409A1" w:rsidP="00AE6656">
            <w:pPr>
              <w:pStyle w:val="NoSpacing"/>
            </w:pPr>
            <w:r w:rsidRPr="006115F8">
              <w:lastRenderedPageBreak/>
              <w:t>Author (name):</w:t>
            </w:r>
          </w:p>
        </w:tc>
        <w:tc>
          <w:tcPr>
            <w:tcW w:w="3383" w:type="pct"/>
            <w:tcBorders>
              <w:top w:val="single" w:sz="4" w:space="0" w:color="auto"/>
              <w:left w:val="single" w:sz="4" w:space="0" w:color="auto"/>
              <w:bottom w:val="single" w:sz="4" w:space="0" w:color="auto"/>
              <w:right w:val="single" w:sz="4" w:space="0" w:color="auto"/>
            </w:tcBorders>
            <w:vAlign w:val="center"/>
          </w:tcPr>
          <w:p w14:paraId="7B472128" w14:textId="77777777" w:rsidR="006409A1" w:rsidRPr="006115F8" w:rsidRDefault="006409A1" w:rsidP="00AE6656">
            <w:pPr>
              <w:pStyle w:val="NoSpacing"/>
            </w:pPr>
            <w:r>
              <w:t>Lisa Butcher</w:t>
            </w:r>
          </w:p>
        </w:tc>
      </w:tr>
      <w:tr w:rsidR="006409A1" w:rsidRPr="006115F8" w14:paraId="1CF8ED32" w14:textId="77777777" w:rsidTr="0064369C">
        <w:trPr>
          <w:trHeight w:val="454"/>
        </w:trPr>
        <w:tc>
          <w:tcPr>
            <w:tcW w:w="1617" w:type="pct"/>
            <w:tcBorders>
              <w:top w:val="single" w:sz="4" w:space="0" w:color="auto"/>
              <w:left w:val="single" w:sz="4" w:space="0" w:color="auto"/>
              <w:bottom w:val="single" w:sz="4" w:space="0" w:color="auto"/>
              <w:right w:val="single" w:sz="4" w:space="0" w:color="auto"/>
            </w:tcBorders>
            <w:vAlign w:val="center"/>
            <w:hideMark/>
          </w:tcPr>
          <w:p w14:paraId="2FD0EEDB" w14:textId="77777777" w:rsidR="006409A1" w:rsidRPr="006115F8" w:rsidRDefault="006409A1" w:rsidP="00AE6656">
            <w:pPr>
              <w:pStyle w:val="NoSpacing"/>
            </w:pPr>
            <w:r w:rsidRPr="006115F8">
              <w:t>Author (designation):</w:t>
            </w:r>
          </w:p>
        </w:tc>
        <w:tc>
          <w:tcPr>
            <w:tcW w:w="3383" w:type="pct"/>
            <w:tcBorders>
              <w:top w:val="single" w:sz="4" w:space="0" w:color="auto"/>
              <w:left w:val="single" w:sz="4" w:space="0" w:color="auto"/>
              <w:bottom w:val="single" w:sz="4" w:space="0" w:color="auto"/>
              <w:right w:val="single" w:sz="4" w:space="0" w:color="auto"/>
            </w:tcBorders>
            <w:vAlign w:val="center"/>
          </w:tcPr>
          <w:p w14:paraId="7D6814F5" w14:textId="1124CD20" w:rsidR="006409A1" w:rsidRPr="006115F8" w:rsidRDefault="00474846" w:rsidP="00AE6656">
            <w:pPr>
              <w:pStyle w:val="NoSpacing"/>
            </w:pPr>
            <w:r w:rsidRPr="00474846">
              <w:t xml:space="preserve">Head of Finance </w:t>
            </w:r>
            <w:r w:rsidR="009D71A1">
              <w:t>–</w:t>
            </w:r>
            <w:r w:rsidRPr="00474846">
              <w:t xml:space="preserve"> </w:t>
            </w:r>
            <w:r w:rsidR="009D71A1">
              <w:t>Adults and Childrens</w:t>
            </w:r>
          </w:p>
        </w:tc>
      </w:tr>
      <w:tr w:rsidR="006409A1" w:rsidRPr="006115F8" w14:paraId="0B3BF5B9" w14:textId="77777777" w:rsidTr="0064369C">
        <w:trPr>
          <w:trHeight w:val="454"/>
        </w:trPr>
        <w:tc>
          <w:tcPr>
            <w:tcW w:w="1617" w:type="pct"/>
            <w:tcBorders>
              <w:top w:val="single" w:sz="4" w:space="0" w:color="auto"/>
              <w:left w:val="single" w:sz="4" w:space="0" w:color="auto"/>
              <w:bottom w:val="single" w:sz="4" w:space="0" w:color="auto"/>
              <w:right w:val="single" w:sz="4" w:space="0" w:color="auto"/>
            </w:tcBorders>
            <w:vAlign w:val="center"/>
            <w:hideMark/>
          </w:tcPr>
          <w:p w14:paraId="14B06A1D" w14:textId="77777777" w:rsidR="006409A1" w:rsidRPr="006115F8" w:rsidRDefault="006409A1" w:rsidP="00AE6656">
            <w:pPr>
              <w:pStyle w:val="NoSpacing"/>
            </w:pPr>
            <w:r w:rsidRPr="006115F8">
              <w:t>Date approved:</w:t>
            </w:r>
          </w:p>
        </w:tc>
        <w:tc>
          <w:tcPr>
            <w:tcW w:w="3383" w:type="pct"/>
            <w:tcBorders>
              <w:top w:val="single" w:sz="4" w:space="0" w:color="auto"/>
              <w:left w:val="single" w:sz="4" w:space="0" w:color="auto"/>
              <w:bottom w:val="single" w:sz="4" w:space="0" w:color="auto"/>
              <w:right w:val="single" w:sz="4" w:space="0" w:color="auto"/>
            </w:tcBorders>
            <w:vAlign w:val="center"/>
          </w:tcPr>
          <w:p w14:paraId="4EE390EF" w14:textId="2CC5AC1A" w:rsidR="006409A1" w:rsidRPr="006115F8" w:rsidRDefault="00460539" w:rsidP="00AE6656">
            <w:pPr>
              <w:pStyle w:val="NoSpacing"/>
            </w:pPr>
            <w:r>
              <w:t>August 2024</w:t>
            </w:r>
          </w:p>
        </w:tc>
      </w:tr>
      <w:tr w:rsidR="006409A1" w:rsidRPr="006115F8" w14:paraId="229F438A" w14:textId="77777777" w:rsidTr="0064369C">
        <w:trPr>
          <w:trHeight w:val="454"/>
        </w:trPr>
        <w:tc>
          <w:tcPr>
            <w:tcW w:w="1617" w:type="pct"/>
            <w:tcBorders>
              <w:top w:val="single" w:sz="4" w:space="0" w:color="auto"/>
              <w:left w:val="single" w:sz="4" w:space="0" w:color="auto"/>
              <w:bottom w:val="single" w:sz="4" w:space="0" w:color="auto"/>
              <w:right w:val="single" w:sz="4" w:space="0" w:color="auto"/>
            </w:tcBorders>
            <w:vAlign w:val="center"/>
            <w:hideMark/>
          </w:tcPr>
          <w:p w14:paraId="164E65F8" w14:textId="77777777" w:rsidR="006409A1" w:rsidRPr="006115F8" w:rsidRDefault="006409A1" w:rsidP="00AE6656">
            <w:pPr>
              <w:pStyle w:val="NoSpacing"/>
            </w:pPr>
            <w:r w:rsidRPr="006115F8">
              <w:t>Date uploaded to intranet:</w:t>
            </w:r>
          </w:p>
        </w:tc>
        <w:tc>
          <w:tcPr>
            <w:tcW w:w="3383" w:type="pct"/>
            <w:tcBorders>
              <w:top w:val="single" w:sz="4" w:space="0" w:color="auto"/>
              <w:left w:val="single" w:sz="4" w:space="0" w:color="auto"/>
              <w:bottom w:val="single" w:sz="4" w:space="0" w:color="auto"/>
              <w:right w:val="single" w:sz="4" w:space="0" w:color="auto"/>
            </w:tcBorders>
            <w:vAlign w:val="center"/>
          </w:tcPr>
          <w:p w14:paraId="58AA9191" w14:textId="3700E78B" w:rsidR="006409A1" w:rsidRPr="006115F8" w:rsidRDefault="00460539" w:rsidP="00AE6656">
            <w:pPr>
              <w:pStyle w:val="NoSpacing"/>
            </w:pPr>
            <w:r>
              <w:t>August 2024</w:t>
            </w:r>
          </w:p>
        </w:tc>
      </w:tr>
      <w:tr w:rsidR="006409A1" w:rsidRPr="006115F8" w14:paraId="775118A6" w14:textId="77777777" w:rsidTr="0064369C">
        <w:trPr>
          <w:trHeight w:val="454"/>
        </w:trPr>
        <w:tc>
          <w:tcPr>
            <w:tcW w:w="1617" w:type="pct"/>
            <w:tcBorders>
              <w:top w:val="single" w:sz="4" w:space="0" w:color="auto"/>
              <w:left w:val="single" w:sz="4" w:space="0" w:color="auto"/>
              <w:bottom w:val="single" w:sz="4" w:space="0" w:color="auto"/>
              <w:right w:val="single" w:sz="4" w:space="0" w:color="auto"/>
            </w:tcBorders>
            <w:vAlign w:val="center"/>
          </w:tcPr>
          <w:p w14:paraId="52EED322" w14:textId="77777777" w:rsidR="006409A1" w:rsidRPr="006115F8" w:rsidRDefault="006409A1" w:rsidP="00AE6656">
            <w:pPr>
              <w:pStyle w:val="NoSpacing"/>
            </w:pPr>
            <w:r w:rsidRPr="006115F8">
              <w:t>Review Date:</w:t>
            </w:r>
          </w:p>
        </w:tc>
        <w:tc>
          <w:tcPr>
            <w:tcW w:w="3383" w:type="pct"/>
            <w:tcBorders>
              <w:top w:val="single" w:sz="4" w:space="0" w:color="auto"/>
              <w:left w:val="single" w:sz="4" w:space="0" w:color="auto"/>
              <w:bottom w:val="single" w:sz="4" w:space="0" w:color="auto"/>
              <w:right w:val="single" w:sz="4" w:space="0" w:color="auto"/>
            </w:tcBorders>
            <w:vAlign w:val="center"/>
          </w:tcPr>
          <w:p w14:paraId="2F269C90" w14:textId="2E91A7F3" w:rsidR="006409A1" w:rsidRPr="006115F8" w:rsidRDefault="00460539" w:rsidP="00AE6656">
            <w:pPr>
              <w:pStyle w:val="NoSpacing"/>
            </w:pPr>
            <w:r>
              <w:t>August 2026</w:t>
            </w:r>
          </w:p>
        </w:tc>
      </w:tr>
    </w:tbl>
    <w:p w14:paraId="75DB06CD" w14:textId="77777777" w:rsidR="00DA26E6" w:rsidRPr="006115F8" w:rsidRDefault="00DA26E6" w:rsidP="00AE6656"/>
    <w:p w14:paraId="6EA0E70C" w14:textId="72F76D3B" w:rsidR="00DA26E6" w:rsidRPr="00DA26E6" w:rsidRDefault="00DA26E6" w:rsidP="00AE6656">
      <w:pPr>
        <w:rPr>
          <w:rStyle w:val="Strong"/>
        </w:rPr>
      </w:pPr>
      <w:r w:rsidRPr="00DA26E6">
        <w:rPr>
          <w:rStyle w:val="Strong"/>
        </w:rPr>
        <w:t>VERSION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075"/>
        <w:gridCol w:w="2059"/>
        <w:gridCol w:w="1410"/>
        <w:gridCol w:w="3679"/>
        <w:gridCol w:w="1516"/>
      </w:tblGrid>
      <w:tr w:rsidR="0064369C" w:rsidRPr="006115F8" w14:paraId="56DFC2C8" w14:textId="77777777" w:rsidTr="0064369C">
        <w:trPr>
          <w:trHeight w:val="624"/>
        </w:trPr>
        <w:tc>
          <w:tcPr>
            <w:tcW w:w="539" w:type="pct"/>
            <w:tcBorders>
              <w:top w:val="single" w:sz="4" w:space="0" w:color="auto"/>
              <w:left w:val="single" w:sz="4" w:space="0" w:color="auto"/>
              <w:bottom w:val="single" w:sz="4" w:space="0" w:color="auto"/>
              <w:right w:val="single" w:sz="4" w:space="0" w:color="auto"/>
            </w:tcBorders>
            <w:vAlign w:val="center"/>
            <w:hideMark/>
          </w:tcPr>
          <w:p w14:paraId="2DCCABE0" w14:textId="09B22445" w:rsidR="00DA26E6" w:rsidRPr="000F39AC" w:rsidRDefault="00DA26E6" w:rsidP="00AE6656">
            <w:pPr>
              <w:pStyle w:val="NoSpacing"/>
              <w:rPr>
                <w:rStyle w:val="Strong"/>
              </w:rPr>
            </w:pPr>
            <w:r w:rsidRPr="000F39AC">
              <w:rPr>
                <w:rStyle w:val="Strong"/>
              </w:rPr>
              <w:t>Version</w:t>
            </w:r>
            <w:r w:rsidR="00460539">
              <w:rPr>
                <w:rStyle w:val="Strong"/>
              </w:rPr>
              <w:t>:</w:t>
            </w:r>
          </w:p>
        </w:tc>
        <w:tc>
          <w:tcPr>
            <w:tcW w:w="1060" w:type="pct"/>
            <w:tcBorders>
              <w:top w:val="single" w:sz="4" w:space="0" w:color="auto"/>
              <w:left w:val="single" w:sz="4" w:space="0" w:color="auto"/>
              <w:bottom w:val="single" w:sz="4" w:space="0" w:color="auto"/>
              <w:right w:val="single" w:sz="4" w:space="0" w:color="auto"/>
            </w:tcBorders>
            <w:vAlign w:val="center"/>
            <w:hideMark/>
          </w:tcPr>
          <w:p w14:paraId="1FEA753D" w14:textId="12263254" w:rsidR="00DA26E6" w:rsidRPr="000F39AC" w:rsidRDefault="00DA26E6" w:rsidP="00AE6656">
            <w:pPr>
              <w:pStyle w:val="NoSpacing"/>
              <w:rPr>
                <w:rStyle w:val="Strong"/>
              </w:rPr>
            </w:pPr>
            <w:r w:rsidRPr="000F39AC">
              <w:rPr>
                <w:rStyle w:val="Strong"/>
              </w:rPr>
              <w:t>Author of changes</w:t>
            </w:r>
            <w:r w:rsidR="00460539">
              <w:rPr>
                <w:rStyle w:val="Strong"/>
              </w:rPr>
              <w:t>:</w:t>
            </w:r>
          </w:p>
        </w:tc>
        <w:tc>
          <w:tcPr>
            <w:tcW w:w="727" w:type="pct"/>
            <w:tcBorders>
              <w:top w:val="single" w:sz="4" w:space="0" w:color="auto"/>
              <w:left w:val="single" w:sz="4" w:space="0" w:color="auto"/>
              <w:bottom w:val="single" w:sz="4" w:space="0" w:color="auto"/>
              <w:right w:val="single" w:sz="4" w:space="0" w:color="auto"/>
            </w:tcBorders>
            <w:vAlign w:val="center"/>
            <w:hideMark/>
          </w:tcPr>
          <w:p w14:paraId="00A055DE" w14:textId="5E656A06" w:rsidR="00DA26E6" w:rsidRPr="000F39AC" w:rsidRDefault="00DA26E6" w:rsidP="00AE6656">
            <w:pPr>
              <w:pStyle w:val="NoSpacing"/>
              <w:rPr>
                <w:rStyle w:val="Strong"/>
              </w:rPr>
            </w:pPr>
            <w:r w:rsidRPr="000F39AC">
              <w:rPr>
                <w:rStyle w:val="Strong"/>
              </w:rPr>
              <w:t>Date</w:t>
            </w:r>
            <w:r w:rsidR="00460539">
              <w:rPr>
                <w:rStyle w:val="Strong"/>
              </w:rPr>
              <w:t>:</w:t>
            </w:r>
          </w:p>
        </w:tc>
        <w:tc>
          <w:tcPr>
            <w:tcW w:w="1892" w:type="pct"/>
            <w:tcBorders>
              <w:top w:val="single" w:sz="4" w:space="0" w:color="auto"/>
              <w:left w:val="single" w:sz="4" w:space="0" w:color="auto"/>
              <w:bottom w:val="single" w:sz="4" w:space="0" w:color="auto"/>
              <w:right w:val="single" w:sz="4" w:space="0" w:color="auto"/>
            </w:tcBorders>
            <w:vAlign w:val="center"/>
            <w:hideMark/>
          </w:tcPr>
          <w:p w14:paraId="220ADBAD" w14:textId="73A15A25" w:rsidR="00DA26E6" w:rsidRPr="000F39AC" w:rsidRDefault="00DA26E6" w:rsidP="00AE6656">
            <w:pPr>
              <w:pStyle w:val="NoSpacing"/>
              <w:rPr>
                <w:rStyle w:val="Strong"/>
              </w:rPr>
            </w:pPr>
            <w:r w:rsidRPr="000F39AC">
              <w:rPr>
                <w:rStyle w:val="Strong"/>
              </w:rPr>
              <w:t>Revisions from previous issues</w:t>
            </w:r>
            <w:r w:rsidR="00460539">
              <w:rPr>
                <w:rStyle w:val="Strong"/>
              </w:rPr>
              <w:t>:</w:t>
            </w:r>
          </w:p>
        </w:tc>
        <w:tc>
          <w:tcPr>
            <w:tcW w:w="781" w:type="pct"/>
            <w:tcBorders>
              <w:top w:val="single" w:sz="4" w:space="0" w:color="auto"/>
              <w:left w:val="single" w:sz="4" w:space="0" w:color="auto"/>
              <w:bottom w:val="single" w:sz="4" w:space="0" w:color="auto"/>
              <w:right w:val="single" w:sz="4" w:space="0" w:color="auto"/>
            </w:tcBorders>
            <w:vAlign w:val="center"/>
          </w:tcPr>
          <w:p w14:paraId="159A2DE7" w14:textId="100C21D9" w:rsidR="00DA26E6" w:rsidRPr="000F39AC" w:rsidRDefault="00DA26E6" w:rsidP="00AE6656">
            <w:pPr>
              <w:pStyle w:val="NoSpacing"/>
              <w:rPr>
                <w:rStyle w:val="Strong"/>
              </w:rPr>
            </w:pPr>
            <w:r w:rsidRPr="000F39AC">
              <w:rPr>
                <w:rStyle w:val="Strong"/>
              </w:rPr>
              <w:t>Circulation</w:t>
            </w:r>
            <w:r w:rsidR="00460539">
              <w:rPr>
                <w:rStyle w:val="Strong"/>
              </w:rPr>
              <w:t>:</w:t>
            </w:r>
          </w:p>
        </w:tc>
      </w:tr>
      <w:tr w:rsidR="0064369C" w:rsidRPr="006115F8" w14:paraId="4E6E0C97" w14:textId="77777777" w:rsidTr="0064369C">
        <w:trPr>
          <w:trHeight w:val="624"/>
        </w:trPr>
        <w:tc>
          <w:tcPr>
            <w:tcW w:w="539" w:type="pct"/>
            <w:tcBorders>
              <w:top w:val="single" w:sz="4" w:space="0" w:color="auto"/>
              <w:left w:val="single" w:sz="4" w:space="0" w:color="auto"/>
              <w:bottom w:val="single" w:sz="4" w:space="0" w:color="auto"/>
              <w:right w:val="single" w:sz="4" w:space="0" w:color="auto"/>
            </w:tcBorders>
            <w:vAlign w:val="center"/>
          </w:tcPr>
          <w:p w14:paraId="61405C44" w14:textId="5D43EB74" w:rsidR="00DA26E6" w:rsidRPr="006115F8" w:rsidRDefault="0042555B" w:rsidP="00AE6656">
            <w:pPr>
              <w:pStyle w:val="NoSpacing"/>
            </w:pPr>
            <w:r>
              <w:t>1.0</w:t>
            </w:r>
          </w:p>
        </w:tc>
        <w:tc>
          <w:tcPr>
            <w:tcW w:w="1060" w:type="pct"/>
            <w:tcBorders>
              <w:top w:val="single" w:sz="4" w:space="0" w:color="auto"/>
              <w:left w:val="single" w:sz="4" w:space="0" w:color="auto"/>
              <w:bottom w:val="single" w:sz="4" w:space="0" w:color="auto"/>
              <w:right w:val="single" w:sz="4" w:space="0" w:color="auto"/>
            </w:tcBorders>
            <w:vAlign w:val="center"/>
          </w:tcPr>
          <w:p w14:paraId="7D208A8B" w14:textId="76A3E410" w:rsidR="00DA26E6" w:rsidRPr="00AE6656" w:rsidRDefault="00C66BB9" w:rsidP="00AE6656">
            <w:pPr>
              <w:pStyle w:val="NoSpacing"/>
            </w:pPr>
            <w:r>
              <w:t>Lisa Butcher</w:t>
            </w:r>
          </w:p>
        </w:tc>
        <w:tc>
          <w:tcPr>
            <w:tcW w:w="727" w:type="pct"/>
            <w:tcBorders>
              <w:top w:val="single" w:sz="4" w:space="0" w:color="auto"/>
              <w:left w:val="single" w:sz="4" w:space="0" w:color="auto"/>
              <w:bottom w:val="single" w:sz="4" w:space="0" w:color="auto"/>
              <w:right w:val="single" w:sz="4" w:space="0" w:color="auto"/>
            </w:tcBorders>
            <w:vAlign w:val="center"/>
          </w:tcPr>
          <w:p w14:paraId="647001A3" w14:textId="11755607" w:rsidR="00DA26E6" w:rsidRPr="006115F8" w:rsidRDefault="002124B7" w:rsidP="00AE6656">
            <w:pPr>
              <w:pStyle w:val="NoSpacing"/>
            </w:pPr>
            <w:r>
              <w:t>July 2022</w:t>
            </w:r>
          </w:p>
        </w:tc>
        <w:tc>
          <w:tcPr>
            <w:tcW w:w="1892" w:type="pct"/>
            <w:tcBorders>
              <w:top w:val="single" w:sz="4" w:space="0" w:color="auto"/>
              <w:left w:val="single" w:sz="4" w:space="0" w:color="auto"/>
              <w:bottom w:val="single" w:sz="4" w:space="0" w:color="auto"/>
              <w:right w:val="single" w:sz="4" w:space="0" w:color="auto"/>
            </w:tcBorders>
            <w:vAlign w:val="center"/>
          </w:tcPr>
          <w:p w14:paraId="37FBAFE5" w14:textId="6D507C81" w:rsidR="00DA26E6" w:rsidRPr="006115F8" w:rsidRDefault="002124B7" w:rsidP="00AE6656">
            <w:pPr>
              <w:pStyle w:val="NoSpacing"/>
            </w:pPr>
            <w:r w:rsidRPr="006115F8">
              <w:t>Policy approved for publication</w:t>
            </w:r>
            <w:r w:rsidR="005A4380">
              <w:t>.</w:t>
            </w:r>
          </w:p>
        </w:tc>
        <w:tc>
          <w:tcPr>
            <w:tcW w:w="781" w:type="pct"/>
            <w:tcBorders>
              <w:top w:val="single" w:sz="4" w:space="0" w:color="auto"/>
              <w:left w:val="single" w:sz="4" w:space="0" w:color="auto"/>
              <w:bottom w:val="single" w:sz="4" w:space="0" w:color="auto"/>
              <w:right w:val="single" w:sz="4" w:space="0" w:color="auto"/>
            </w:tcBorders>
            <w:vAlign w:val="center"/>
          </w:tcPr>
          <w:p w14:paraId="4D97AA53" w14:textId="630788E3" w:rsidR="00DA26E6" w:rsidRPr="006115F8" w:rsidRDefault="00C87A72" w:rsidP="00AE6656">
            <w:pPr>
              <w:pStyle w:val="NoSpacing"/>
            </w:pPr>
            <w:r>
              <w:t>Intranet</w:t>
            </w:r>
          </w:p>
        </w:tc>
      </w:tr>
      <w:tr w:rsidR="0064369C" w:rsidRPr="006115F8" w14:paraId="3D38E590" w14:textId="77777777" w:rsidTr="0064369C">
        <w:trPr>
          <w:trHeight w:val="624"/>
        </w:trPr>
        <w:tc>
          <w:tcPr>
            <w:tcW w:w="539" w:type="pct"/>
            <w:tcBorders>
              <w:top w:val="single" w:sz="4" w:space="0" w:color="auto"/>
              <w:left w:val="single" w:sz="4" w:space="0" w:color="auto"/>
              <w:bottom w:val="single" w:sz="4" w:space="0" w:color="auto"/>
              <w:right w:val="single" w:sz="4" w:space="0" w:color="auto"/>
            </w:tcBorders>
            <w:vAlign w:val="center"/>
          </w:tcPr>
          <w:p w14:paraId="6EE5DFE8" w14:textId="31ED407F" w:rsidR="00DA26E6" w:rsidRPr="006115F8" w:rsidRDefault="0042555B" w:rsidP="00AE6656">
            <w:pPr>
              <w:pStyle w:val="NoSpacing"/>
            </w:pPr>
            <w:r>
              <w:t>2.0</w:t>
            </w:r>
          </w:p>
        </w:tc>
        <w:tc>
          <w:tcPr>
            <w:tcW w:w="1060" w:type="pct"/>
            <w:tcBorders>
              <w:top w:val="single" w:sz="4" w:space="0" w:color="auto"/>
              <w:left w:val="single" w:sz="4" w:space="0" w:color="auto"/>
              <w:bottom w:val="single" w:sz="4" w:space="0" w:color="auto"/>
              <w:right w:val="single" w:sz="4" w:space="0" w:color="auto"/>
            </w:tcBorders>
            <w:vAlign w:val="center"/>
          </w:tcPr>
          <w:p w14:paraId="03CBCC6F" w14:textId="3E287DF5" w:rsidR="00DA26E6" w:rsidRPr="006115F8" w:rsidRDefault="00460539" w:rsidP="00AE6656">
            <w:pPr>
              <w:pStyle w:val="NoSpacing"/>
            </w:pPr>
            <w:r>
              <w:t>Lisa Butcher</w:t>
            </w:r>
          </w:p>
        </w:tc>
        <w:tc>
          <w:tcPr>
            <w:tcW w:w="727" w:type="pct"/>
            <w:tcBorders>
              <w:top w:val="single" w:sz="4" w:space="0" w:color="auto"/>
              <w:left w:val="single" w:sz="4" w:space="0" w:color="auto"/>
              <w:bottom w:val="single" w:sz="4" w:space="0" w:color="auto"/>
              <w:right w:val="single" w:sz="4" w:space="0" w:color="auto"/>
            </w:tcBorders>
            <w:vAlign w:val="center"/>
          </w:tcPr>
          <w:p w14:paraId="3C6E6942" w14:textId="25EAED46" w:rsidR="00DA26E6" w:rsidRPr="006115F8" w:rsidRDefault="00460539" w:rsidP="00AE6656">
            <w:pPr>
              <w:pStyle w:val="NoSpacing"/>
            </w:pPr>
            <w:r>
              <w:t>August 2024</w:t>
            </w:r>
          </w:p>
        </w:tc>
        <w:tc>
          <w:tcPr>
            <w:tcW w:w="1892" w:type="pct"/>
            <w:tcBorders>
              <w:top w:val="single" w:sz="4" w:space="0" w:color="auto"/>
              <w:left w:val="single" w:sz="4" w:space="0" w:color="auto"/>
              <w:bottom w:val="single" w:sz="4" w:space="0" w:color="auto"/>
              <w:right w:val="single" w:sz="4" w:space="0" w:color="auto"/>
            </w:tcBorders>
            <w:vAlign w:val="center"/>
          </w:tcPr>
          <w:p w14:paraId="72C8E5E3" w14:textId="6C82E5B5" w:rsidR="00DA26E6" w:rsidRPr="006115F8" w:rsidRDefault="00460539" w:rsidP="00AE6656">
            <w:pPr>
              <w:pStyle w:val="NoSpacing"/>
            </w:pPr>
            <w:r w:rsidRPr="00E72836">
              <w:t>Policy review, minor changes to wording</w:t>
            </w:r>
            <w:r w:rsidR="005A4380">
              <w:t xml:space="preserve">, </w:t>
            </w:r>
            <w:r w:rsidRPr="00E72836">
              <w:t>grammar</w:t>
            </w:r>
            <w:r w:rsidR="005A4380">
              <w:t xml:space="preserve"> and formatting.</w:t>
            </w:r>
          </w:p>
        </w:tc>
        <w:tc>
          <w:tcPr>
            <w:tcW w:w="781" w:type="pct"/>
            <w:tcBorders>
              <w:top w:val="single" w:sz="4" w:space="0" w:color="auto"/>
              <w:left w:val="single" w:sz="4" w:space="0" w:color="auto"/>
              <w:bottom w:val="single" w:sz="4" w:space="0" w:color="auto"/>
              <w:right w:val="single" w:sz="4" w:space="0" w:color="auto"/>
            </w:tcBorders>
            <w:vAlign w:val="center"/>
          </w:tcPr>
          <w:p w14:paraId="2028184C" w14:textId="3368DCFA" w:rsidR="00DA26E6" w:rsidRPr="006115F8" w:rsidRDefault="00460539" w:rsidP="00AE6656">
            <w:pPr>
              <w:pStyle w:val="NoSpacing"/>
            </w:pPr>
            <w:r>
              <w:t>Intranet</w:t>
            </w:r>
          </w:p>
        </w:tc>
      </w:tr>
    </w:tbl>
    <w:p w14:paraId="0D699AD6" w14:textId="10229BC6" w:rsidR="0042555B" w:rsidRDefault="0042555B" w:rsidP="00AE6656">
      <w:r>
        <w:br w:type="page"/>
      </w:r>
    </w:p>
    <w:sdt>
      <w:sdtPr>
        <w:rPr>
          <w:rFonts w:ascii="Arial" w:eastAsiaTheme="minorEastAsia" w:hAnsi="Arial" w:cs="Arial"/>
          <w:b w:val="0"/>
          <w:bCs w:val="0"/>
          <w:sz w:val="2"/>
          <w:szCs w:val="2"/>
          <w:lang w:val="en-GB"/>
        </w:rPr>
        <w:id w:val="-1309168560"/>
        <w:docPartObj>
          <w:docPartGallery w:val="Table of Contents"/>
          <w:docPartUnique/>
        </w:docPartObj>
      </w:sdtPr>
      <w:sdtEndPr>
        <w:rPr>
          <w:noProof/>
        </w:rPr>
      </w:sdtEndPr>
      <w:sdtContent>
        <w:p w14:paraId="22F0299D" w14:textId="0C69FC2D" w:rsidR="00C66BB9" w:rsidRPr="00C66BB9" w:rsidRDefault="00C66BB9" w:rsidP="00396E46">
          <w:pPr>
            <w:pStyle w:val="TOCHeading"/>
          </w:pPr>
          <w:r w:rsidRPr="00C66BB9">
            <w:t>Contents</w:t>
          </w:r>
        </w:p>
        <w:p w14:paraId="2A1E12B0" w14:textId="4FBE7BEF" w:rsidR="00092D89" w:rsidRDefault="00092D89" w:rsidP="002C3FDA">
          <w:pPr>
            <w:pStyle w:val="TOC1"/>
            <w:rPr>
              <w:rFonts w:asciiTheme="minorHAnsi" w:eastAsiaTheme="minorEastAsia" w:hAnsiTheme="minorHAnsi" w:cstheme="minorBidi"/>
              <w:kern w:val="2"/>
              <w:lang w:eastAsia="en-GB"/>
              <w14:ligatures w14:val="standardContextual"/>
            </w:rPr>
          </w:pPr>
          <w:r>
            <w:rPr>
              <w:sz w:val="22"/>
              <w:szCs w:val="22"/>
            </w:rPr>
            <w:fldChar w:fldCharType="begin"/>
          </w:r>
          <w:r>
            <w:instrText xml:space="preserve"> TOC \o "1-3" \h \z \u </w:instrText>
          </w:r>
          <w:r>
            <w:rPr>
              <w:sz w:val="22"/>
              <w:szCs w:val="22"/>
            </w:rPr>
            <w:fldChar w:fldCharType="separate"/>
          </w:r>
          <w:hyperlink w:anchor="_Toc174365489" w:history="1">
            <w:r w:rsidRPr="005F200A">
              <w:rPr>
                <w:rStyle w:val="Hyperlink"/>
              </w:rPr>
              <w:t>1.</w:t>
            </w:r>
            <w:r>
              <w:rPr>
                <w:rFonts w:asciiTheme="minorHAnsi" w:eastAsiaTheme="minorEastAsia" w:hAnsiTheme="minorHAnsi" w:cstheme="minorBidi"/>
                <w:kern w:val="2"/>
                <w:lang w:eastAsia="en-GB"/>
                <w14:ligatures w14:val="standardContextual"/>
              </w:rPr>
              <w:tab/>
            </w:r>
            <w:r w:rsidRPr="005F200A">
              <w:rPr>
                <w:rStyle w:val="Hyperlink"/>
              </w:rPr>
              <w:t xml:space="preserve">Purpose of the </w:t>
            </w:r>
            <w:r w:rsidRPr="002C3FDA">
              <w:rPr>
                <w:rStyle w:val="Hyperlink"/>
                <w:color w:val="auto"/>
                <w:u w:val="none"/>
              </w:rPr>
              <w:t>Policy</w:t>
            </w:r>
            <w:r>
              <w:rPr>
                <w:webHidden/>
              </w:rPr>
              <w:tab/>
            </w:r>
            <w:r>
              <w:rPr>
                <w:webHidden/>
              </w:rPr>
              <w:fldChar w:fldCharType="begin"/>
            </w:r>
            <w:r>
              <w:rPr>
                <w:webHidden/>
              </w:rPr>
              <w:instrText xml:space="preserve"> PAGEREF _Toc174365489 \h </w:instrText>
            </w:r>
            <w:r>
              <w:rPr>
                <w:webHidden/>
              </w:rPr>
            </w:r>
            <w:r>
              <w:rPr>
                <w:webHidden/>
              </w:rPr>
              <w:fldChar w:fldCharType="separate"/>
            </w:r>
            <w:r>
              <w:rPr>
                <w:webHidden/>
              </w:rPr>
              <w:t>4</w:t>
            </w:r>
            <w:r>
              <w:rPr>
                <w:webHidden/>
              </w:rPr>
              <w:fldChar w:fldCharType="end"/>
            </w:r>
          </w:hyperlink>
        </w:p>
        <w:p w14:paraId="5EBFB803" w14:textId="1306B2F9" w:rsidR="00092D89" w:rsidRDefault="00000000" w:rsidP="002C3FDA">
          <w:pPr>
            <w:pStyle w:val="TOC1"/>
            <w:rPr>
              <w:rFonts w:asciiTheme="minorHAnsi" w:eastAsiaTheme="minorEastAsia" w:hAnsiTheme="minorHAnsi" w:cstheme="minorBidi"/>
              <w:kern w:val="2"/>
              <w:lang w:eastAsia="en-GB"/>
              <w14:ligatures w14:val="standardContextual"/>
            </w:rPr>
          </w:pPr>
          <w:hyperlink w:anchor="_Toc174365490" w:history="1">
            <w:r w:rsidR="00092D89" w:rsidRPr="005F200A">
              <w:rPr>
                <w:rStyle w:val="Hyperlink"/>
              </w:rPr>
              <w:t>2.</w:t>
            </w:r>
            <w:r w:rsidR="00092D89">
              <w:rPr>
                <w:rFonts w:asciiTheme="minorHAnsi" w:eastAsiaTheme="minorEastAsia" w:hAnsiTheme="minorHAnsi" w:cstheme="minorBidi"/>
                <w:kern w:val="2"/>
                <w:lang w:eastAsia="en-GB"/>
                <w14:ligatures w14:val="standardContextual"/>
              </w:rPr>
              <w:tab/>
            </w:r>
            <w:r w:rsidR="00092D89" w:rsidRPr="005F200A">
              <w:rPr>
                <w:rStyle w:val="Hyperlink"/>
              </w:rPr>
              <w:t xml:space="preserve">Legal and </w:t>
            </w:r>
            <w:r w:rsidR="00092D89" w:rsidRPr="002C3FDA">
              <w:rPr>
                <w:rStyle w:val="Hyperlink"/>
                <w:color w:val="auto"/>
                <w:u w:val="none"/>
              </w:rPr>
              <w:t>Policy</w:t>
            </w:r>
            <w:r w:rsidR="00092D89" w:rsidRPr="005F200A">
              <w:rPr>
                <w:rStyle w:val="Hyperlink"/>
              </w:rPr>
              <w:t xml:space="preserve"> Framework</w:t>
            </w:r>
            <w:r w:rsidR="00092D89">
              <w:rPr>
                <w:webHidden/>
              </w:rPr>
              <w:tab/>
            </w:r>
            <w:r w:rsidR="00092D89">
              <w:rPr>
                <w:webHidden/>
              </w:rPr>
              <w:fldChar w:fldCharType="begin"/>
            </w:r>
            <w:r w:rsidR="00092D89">
              <w:rPr>
                <w:webHidden/>
              </w:rPr>
              <w:instrText xml:space="preserve"> PAGEREF _Toc174365490 \h </w:instrText>
            </w:r>
            <w:r w:rsidR="00092D89">
              <w:rPr>
                <w:webHidden/>
              </w:rPr>
            </w:r>
            <w:r w:rsidR="00092D89">
              <w:rPr>
                <w:webHidden/>
              </w:rPr>
              <w:fldChar w:fldCharType="separate"/>
            </w:r>
            <w:r w:rsidR="00092D89">
              <w:rPr>
                <w:webHidden/>
              </w:rPr>
              <w:t>4</w:t>
            </w:r>
            <w:r w:rsidR="00092D89">
              <w:rPr>
                <w:webHidden/>
              </w:rPr>
              <w:fldChar w:fldCharType="end"/>
            </w:r>
          </w:hyperlink>
        </w:p>
        <w:p w14:paraId="7C032F44" w14:textId="75E91786" w:rsidR="00092D89" w:rsidRDefault="00000000" w:rsidP="002C3FDA">
          <w:pPr>
            <w:pStyle w:val="TOC2"/>
            <w:rPr>
              <w:rFonts w:asciiTheme="minorHAnsi" w:eastAsiaTheme="minorEastAsia" w:hAnsiTheme="minorHAnsi" w:cstheme="minorBidi"/>
              <w:kern w:val="2"/>
              <w:lang w:eastAsia="en-GB"/>
              <w14:ligatures w14:val="standardContextual"/>
            </w:rPr>
          </w:pPr>
          <w:hyperlink w:anchor="_Toc174365491" w:history="1">
            <w:r w:rsidR="00092D89" w:rsidRPr="005F200A">
              <w:rPr>
                <w:rStyle w:val="Hyperlink"/>
              </w:rPr>
              <w:t>2.1</w:t>
            </w:r>
            <w:r w:rsidR="00092D89">
              <w:rPr>
                <w:rFonts w:asciiTheme="minorHAnsi" w:eastAsiaTheme="minorEastAsia" w:hAnsiTheme="minorHAnsi" w:cstheme="minorBidi"/>
                <w:kern w:val="2"/>
                <w:lang w:eastAsia="en-GB"/>
                <w14:ligatures w14:val="standardContextual"/>
              </w:rPr>
              <w:tab/>
            </w:r>
            <w:r w:rsidR="00092D89" w:rsidRPr="005F200A">
              <w:rPr>
                <w:rStyle w:val="Hyperlink"/>
              </w:rPr>
              <w:t xml:space="preserve">The Care Act </w:t>
            </w:r>
            <w:r w:rsidR="00092D89" w:rsidRPr="00C651BF">
              <w:rPr>
                <w:rStyle w:val="Hyperlink"/>
                <w:color w:val="auto"/>
                <w:u w:val="none"/>
              </w:rPr>
              <w:t>2014</w:t>
            </w:r>
            <w:r w:rsidR="00092D89">
              <w:rPr>
                <w:webHidden/>
              </w:rPr>
              <w:tab/>
            </w:r>
            <w:r w:rsidR="00092D89">
              <w:rPr>
                <w:webHidden/>
              </w:rPr>
              <w:fldChar w:fldCharType="begin"/>
            </w:r>
            <w:r w:rsidR="00092D89">
              <w:rPr>
                <w:webHidden/>
              </w:rPr>
              <w:instrText xml:space="preserve"> PAGEREF _Toc174365491 \h </w:instrText>
            </w:r>
            <w:r w:rsidR="00092D89">
              <w:rPr>
                <w:webHidden/>
              </w:rPr>
            </w:r>
            <w:r w:rsidR="00092D89">
              <w:rPr>
                <w:webHidden/>
              </w:rPr>
              <w:fldChar w:fldCharType="separate"/>
            </w:r>
            <w:r w:rsidR="00092D89">
              <w:rPr>
                <w:webHidden/>
              </w:rPr>
              <w:t>4</w:t>
            </w:r>
            <w:r w:rsidR="00092D89">
              <w:rPr>
                <w:webHidden/>
              </w:rPr>
              <w:fldChar w:fldCharType="end"/>
            </w:r>
          </w:hyperlink>
        </w:p>
        <w:p w14:paraId="21393E4A" w14:textId="0C29A190" w:rsidR="00092D89" w:rsidRDefault="00000000" w:rsidP="002C3FDA">
          <w:pPr>
            <w:pStyle w:val="TOC2"/>
            <w:rPr>
              <w:rFonts w:asciiTheme="minorHAnsi" w:eastAsiaTheme="minorEastAsia" w:hAnsiTheme="minorHAnsi" w:cstheme="minorBidi"/>
              <w:kern w:val="2"/>
              <w:lang w:eastAsia="en-GB"/>
              <w14:ligatures w14:val="standardContextual"/>
            </w:rPr>
          </w:pPr>
          <w:hyperlink w:anchor="_Toc174365492" w:history="1">
            <w:r w:rsidR="00092D89" w:rsidRPr="005F200A">
              <w:rPr>
                <w:rStyle w:val="Hyperlink"/>
              </w:rPr>
              <w:t>2.2</w:t>
            </w:r>
            <w:r w:rsidR="00092D89">
              <w:rPr>
                <w:rFonts w:asciiTheme="minorHAnsi" w:eastAsiaTheme="minorEastAsia" w:hAnsiTheme="minorHAnsi" w:cstheme="minorBidi"/>
                <w:kern w:val="2"/>
                <w:lang w:eastAsia="en-GB"/>
                <w14:ligatures w14:val="standardContextual"/>
              </w:rPr>
              <w:tab/>
            </w:r>
            <w:r w:rsidR="00092D89" w:rsidRPr="005F200A">
              <w:rPr>
                <w:rStyle w:val="Hyperlink"/>
              </w:rPr>
              <w:t>Adult and Social Care Policy</w:t>
            </w:r>
            <w:r w:rsidR="00092D89">
              <w:rPr>
                <w:webHidden/>
              </w:rPr>
              <w:tab/>
            </w:r>
            <w:r w:rsidR="00092D89">
              <w:rPr>
                <w:webHidden/>
              </w:rPr>
              <w:fldChar w:fldCharType="begin"/>
            </w:r>
            <w:r w:rsidR="00092D89">
              <w:rPr>
                <w:webHidden/>
              </w:rPr>
              <w:instrText xml:space="preserve"> PAGEREF _Toc174365492 \h </w:instrText>
            </w:r>
            <w:r w:rsidR="00092D89">
              <w:rPr>
                <w:webHidden/>
              </w:rPr>
            </w:r>
            <w:r w:rsidR="00092D89">
              <w:rPr>
                <w:webHidden/>
              </w:rPr>
              <w:fldChar w:fldCharType="separate"/>
            </w:r>
            <w:r w:rsidR="00092D89">
              <w:rPr>
                <w:webHidden/>
              </w:rPr>
              <w:t>5</w:t>
            </w:r>
            <w:r w:rsidR="00092D89">
              <w:rPr>
                <w:webHidden/>
              </w:rPr>
              <w:fldChar w:fldCharType="end"/>
            </w:r>
          </w:hyperlink>
        </w:p>
        <w:p w14:paraId="2C1756A7" w14:textId="36E67052" w:rsidR="00092D89" w:rsidRDefault="00000000" w:rsidP="002C3FDA">
          <w:pPr>
            <w:pStyle w:val="TOC2"/>
            <w:rPr>
              <w:rFonts w:asciiTheme="minorHAnsi" w:eastAsiaTheme="minorEastAsia" w:hAnsiTheme="minorHAnsi" w:cstheme="minorBidi"/>
              <w:kern w:val="2"/>
              <w:lang w:eastAsia="en-GB"/>
              <w14:ligatures w14:val="standardContextual"/>
            </w:rPr>
          </w:pPr>
          <w:hyperlink w:anchor="_Toc174365493" w:history="1">
            <w:r w:rsidR="00092D89" w:rsidRPr="005F200A">
              <w:rPr>
                <w:rStyle w:val="Hyperlink"/>
              </w:rPr>
              <w:t>2.3</w:t>
            </w:r>
            <w:r w:rsidR="00092D89">
              <w:rPr>
                <w:rFonts w:asciiTheme="minorHAnsi" w:eastAsiaTheme="minorEastAsia" w:hAnsiTheme="minorHAnsi" w:cstheme="minorBidi"/>
                <w:kern w:val="2"/>
                <w:lang w:eastAsia="en-GB"/>
                <w14:ligatures w14:val="standardContextual"/>
              </w:rPr>
              <w:tab/>
            </w:r>
            <w:r w:rsidR="00092D89" w:rsidRPr="005F200A">
              <w:rPr>
                <w:rStyle w:val="Hyperlink"/>
              </w:rPr>
              <w:t>The Equality Act 2010</w:t>
            </w:r>
            <w:r w:rsidR="00092D89">
              <w:rPr>
                <w:webHidden/>
              </w:rPr>
              <w:tab/>
            </w:r>
            <w:r w:rsidR="00092D89">
              <w:rPr>
                <w:webHidden/>
              </w:rPr>
              <w:fldChar w:fldCharType="begin"/>
            </w:r>
            <w:r w:rsidR="00092D89">
              <w:rPr>
                <w:webHidden/>
              </w:rPr>
              <w:instrText xml:space="preserve"> PAGEREF _Toc174365493 \h </w:instrText>
            </w:r>
            <w:r w:rsidR="00092D89">
              <w:rPr>
                <w:webHidden/>
              </w:rPr>
            </w:r>
            <w:r w:rsidR="00092D89">
              <w:rPr>
                <w:webHidden/>
              </w:rPr>
              <w:fldChar w:fldCharType="separate"/>
            </w:r>
            <w:r w:rsidR="00092D89">
              <w:rPr>
                <w:webHidden/>
              </w:rPr>
              <w:t>7</w:t>
            </w:r>
            <w:r w:rsidR="00092D89">
              <w:rPr>
                <w:webHidden/>
              </w:rPr>
              <w:fldChar w:fldCharType="end"/>
            </w:r>
          </w:hyperlink>
        </w:p>
        <w:p w14:paraId="1664203C" w14:textId="79E11A55" w:rsidR="00092D89" w:rsidRDefault="00000000" w:rsidP="002C3FDA">
          <w:pPr>
            <w:pStyle w:val="TOC2"/>
            <w:rPr>
              <w:rFonts w:asciiTheme="minorHAnsi" w:eastAsiaTheme="minorEastAsia" w:hAnsiTheme="minorHAnsi" w:cstheme="minorBidi"/>
              <w:kern w:val="2"/>
              <w:lang w:eastAsia="en-GB"/>
              <w14:ligatures w14:val="standardContextual"/>
            </w:rPr>
          </w:pPr>
          <w:hyperlink w:anchor="_Toc174365494" w:history="1">
            <w:r w:rsidR="00092D89" w:rsidRPr="005F200A">
              <w:rPr>
                <w:rStyle w:val="Hyperlink"/>
              </w:rPr>
              <w:t>2.4</w:t>
            </w:r>
            <w:r w:rsidR="00092D89">
              <w:rPr>
                <w:rFonts w:asciiTheme="minorHAnsi" w:eastAsiaTheme="minorEastAsia" w:hAnsiTheme="minorHAnsi" w:cstheme="minorBidi"/>
                <w:kern w:val="2"/>
                <w:lang w:eastAsia="en-GB"/>
                <w14:ligatures w14:val="standardContextual"/>
              </w:rPr>
              <w:tab/>
            </w:r>
            <w:r w:rsidR="00092D89" w:rsidRPr="005F200A">
              <w:rPr>
                <w:rStyle w:val="Hyperlink"/>
              </w:rPr>
              <w:t>Mental Capacity Act 2005</w:t>
            </w:r>
            <w:r w:rsidR="00092D89">
              <w:rPr>
                <w:webHidden/>
              </w:rPr>
              <w:tab/>
            </w:r>
            <w:r w:rsidR="00092D89">
              <w:rPr>
                <w:webHidden/>
              </w:rPr>
              <w:fldChar w:fldCharType="begin"/>
            </w:r>
            <w:r w:rsidR="00092D89">
              <w:rPr>
                <w:webHidden/>
              </w:rPr>
              <w:instrText xml:space="preserve"> PAGEREF _Toc174365494 \h </w:instrText>
            </w:r>
            <w:r w:rsidR="00092D89">
              <w:rPr>
                <w:webHidden/>
              </w:rPr>
            </w:r>
            <w:r w:rsidR="00092D89">
              <w:rPr>
                <w:webHidden/>
              </w:rPr>
              <w:fldChar w:fldCharType="separate"/>
            </w:r>
            <w:r w:rsidR="00092D89">
              <w:rPr>
                <w:webHidden/>
              </w:rPr>
              <w:t>7</w:t>
            </w:r>
            <w:r w:rsidR="00092D89">
              <w:rPr>
                <w:webHidden/>
              </w:rPr>
              <w:fldChar w:fldCharType="end"/>
            </w:r>
          </w:hyperlink>
        </w:p>
        <w:p w14:paraId="1A354FED" w14:textId="66922D63" w:rsidR="00092D89" w:rsidRDefault="00000000" w:rsidP="002C3FDA">
          <w:pPr>
            <w:pStyle w:val="TOC2"/>
            <w:rPr>
              <w:rFonts w:asciiTheme="minorHAnsi" w:eastAsiaTheme="minorEastAsia" w:hAnsiTheme="minorHAnsi" w:cstheme="minorBidi"/>
              <w:kern w:val="2"/>
              <w:lang w:eastAsia="en-GB"/>
              <w14:ligatures w14:val="standardContextual"/>
            </w:rPr>
          </w:pPr>
          <w:hyperlink w:anchor="_Toc174365495" w:history="1">
            <w:r w:rsidR="00092D89" w:rsidRPr="005F200A">
              <w:rPr>
                <w:rStyle w:val="Hyperlink"/>
              </w:rPr>
              <w:t>2.5</w:t>
            </w:r>
            <w:r w:rsidR="00092D89">
              <w:rPr>
                <w:rFonts w:asciiTheme="minorHAnsi" w:eastAsiaTheme="minorEastAsia" w:hAnsiTheme="minorHAnsi" w:cstheme="minorBidi"/>
                <w:kern w:val="2"/>
                <w:lang w:eastAsia="en-GB"/>
                <w14:ligatures w14:val="standardContextual"/>
              </w:rPr>
              <w:tab/>
            </w:r>
            <w:r w:rsidR="00092D89" w:rsidRPr="005F200A">
              <w:rPr>
                <w:rStyle w:val="Hyperlink"/>
              </w:rPr>
              <w:t>Retention Policy</w:t>
            </w:r>
            <w:r w:rsidR="00092D89">
              <w:rPr>
                <w:webHidden/>
              </w:rPr>
              <w:tab/>
            </w:r>
            <w:r w:rsidR="00092D89">
              <w:rPr>
                <w:webHidden/>
              </w:rPr>
              <w:fldChar w:fldCharType="begin"/>
            </w:r>
            <w:r w:rsidR="00092D89">
              <w:rPr>
                <w:webHidden/>
              </w:rPr>
              <w:instrText xml:space="preserve"> PAGEREF _Toc174365495 \h </w:instrText>
            </w:r>
            <w:r w:rsidR="00092D89">
              <w:rPr>
                <w:webHidden/>
              </w:rPr>
            </w:r>
            <w:r w:rsidR="00092D89">
              <w:rPr>
                <w:webHidden/>
              </w:rPr>
              <w:fldChar w:fldCharType="separate"/>
            </w:r>
            <w:r w:rsidR="00092D89">
              <w:rPr>
                <w:webHidden/>
              </w:rPr>
              <w:t>7</w:t>
            </w:r>
            <w:r w:rsidR="00092D89">
              <w:rPr>
                <w:webHidden/>
              </w:rPr>
              <w:fldChar w:fldCharType="end"/>
            </w:r>
          </w:hyperlink>
        </w:p>
        <w:p w14:paraId="0A47FE6F" w14:textId="49DFE05F" w:rsidR="00092D89" w:rsidRDefault="00000000" w:rsidP="002C3FDA">
          <w:pPr>
            <w:pStyle w:val="TOC1"/>
            <w:rPr>
              <w:rFonts w:asciiTheme="minorHAnsi" w:eastAsiaTheme="minorEastAsia" w:hAnsiTheme="minorHAnsi" w:cstheme="minorBidi"/>
              <w:kern w:val="2"/>
              <w:lang w:eastAsia="en-GB"/>
              <w14:ligatures w14:val="standardContextual"/>
            </w:rPr>
          </w:pPr>
          <w:hyperlink w:anchor="_Toc174365496" w:history="1">
            <w:r w:rsidR="00092D89" w:rsidRPr="005F200A">
              <w:rPr>
                <w:rStyle w:val="Hyperlink"/>
              </w:rPr>
              <w:t>3.</w:t>
            </w:r>
            <w:r w:rsidR="00092D89">
              <w:rPr>
                <w:rFonts w:asciiTheme="minorHAnsi" w:eastAsiaTheme="minorEastAsia" w:hAnsiTheme="minorHAnsi" w:cstheme="minorBidi"/>
                <w:kern w:val="2"/>
                <w:lang w:eastAsia="en-GB"/>
                <w14:ligatures w14:val="standardContextual"/>
              </w:rPr>
              <w:tab/>
            </w:r>
            <w:r w:rsidR="00092D89" w:rsidRPr="005F200A">
              <w:rPr>
                <w:rStyle w:val="Hyperlink"/>
              </w:rPr>
              <w:t>Financial Assessments</w:t>
            </w:r>
            <w:r w:rsidR="00092D89">
              <w:rPr>
                <w:webHidden/>
              </w:rPr>
              <w:tab/>
            </w:r>
            <w:r w:rsidR="00092D89">
              <w:rPr>
                <w:webHidden/>
              </w:rPr>
              <w:fldChar w:fldCharType="begin"/>
            </w:r>
            <w:r w:rsidR="00092D89">
              <w:rPr>
                <w:webHidden/>
              </w:rPr>
              <w:instrText xml:space="preserve"> PAGEREF _Toc174365496 \h </w:instrText>
            </w:r>
            <w:r w:rsidR="00092D89">
              <w:rPr>
                <w:webHidden/>
              </w:rPr>
            </w:r>
            <w:r w:rsidR="00092D89">
              <w:rPr>
                <w:webHidden/>
              </w:rPr>
              <w:fldChar w:fldCharType="separate"/>
            </w:r>
            <w:r w:rsidR="00092D89">
              <w:rPr>
                <w:webHidden/>
              </w:rPr>
              <w:t>7</w:t>
            </w:r>
            <w:r w:rsidR="00092D89">
              <w:rPr>
                <w:webHidden/>
              </w:rPr>
              <w:fldChar w:fldCharType="end"/>
            </w:r>
          </w:hyperlink>
        </w:p>
        <w:p w14:paraId="06F898CE" w14:textId="6DB0A93C" w:rsidR="00092D89" w:rsidRDefault="00000000" w:rsidP="002C3FDA">
          <w:pPr>
            <w:pStyle w:val="TOC2"/>
            <w:rPr>
              <w:rFonts w:asciiTheme="minorHAnsi" w:eastAsiaTheme="minorEastAsia" w:hAnsiTheme="minorHAnsi" w:cstheme="minorBidi"/>
              <w:kern w:val="2"/>
              <w:lang w:eastAsia="en-GB"/>
              <w14:ligatures w14:val="standardContextual"/>
            </w:rPr>
          </w:pPr>
          <w:hyperlink w:anchor="_Toc174365497" w:history="1">
            <w:r w:rsidR="00092D89" w:rsidRPr="005F200A">
              <w:rPr>
                <w:rStyle w:val="Hyperlink"/>
              </w:rPr>
              <w:t>3.1</w:t>
            </w:r>
            <w:r w:rsidR="00092D89">
              <w:rPr>
                <w:rFonts w:asciiTheme="minorHAnsi" w:eastAsiaTheme="minorEastAsia" w:hAnsiTheme="minorHAnsi" w:cstheme="minorBidi"/>
                <w:kern w:val="2"/>
                <w:lang w:eastAsia="en-GB"/>
                <w14:ligatures w14:val="standardContextual"/>
              </w:rPr>
              <w:tab/>
            </w:r>
            <w:r w:rsidR="00092D89" w:rsidRPr="002C3FDA">
              <w:rPr>
                <w:rStyle w:val="Hyperlink"/>
                <w:color w:val="auto"/>
                <w:u w:val="none"/>
              </w:rPr>
              <w:t>Assessing</w:t>
            </w:r>
            <w:r w:rsidR="00092D89" w:rsidRPr="005F200A">
              <w:rPr>
                <w:rStyle w:val="Hyperlink"/>
              </w:rPr>
              <w:t xml:space="preserve"> the client’s ability to pay</w:t>
            </w:r>
            <w:r w:rsidR="00092D89">
              <w:rPr>
                <w:webHidden/>
              </w:rPr>
              <w:tab/>
            </w:r>
            <w:r w:rsidR="00092D89">
              <w:rPr>
                <w:webHidden/>
              </w:rPr>
              <w:fldChar w:fldCharType="begin"/>
            </w:r>
            <w:r w:rsidR="00092D89">
              <w:rPr>
                <w:webHidden/>
              </w:rPr>
              <w:instrText xml:space="preserve"> PAGEREF _Toc174365497 \h </w:instrText>
            </w:r>
            <w:r w:rsidR="00092D89">
              <w:rPr>
                <w:webHidden/>
              </w:rPr>
            </w:r>
            <w:r w:rsidR="00092D89">
              <w:rPr>
                <w:webHidden/>
              </w:rPr>
              <w:fldChar w:fldCharType="separate"/>
            </w:r>
            <w:r w:rsidR="00092D89">
              <w:rPr>
                <w:webHidden/>
              </w:rPr>
              <w:t>7</w:t>
            </w:r>
            <w:r w:rsidR="00092D89">
              <w:rPr>
                <w:webHidden/>
              </w:rPr>
              <w:fldChar w:fldCharType="end"/>
            </w:r>
          </w:hyperlink>
        </w:p>
        <w:p w14:paraId="0A0ADE52" w14:textId="1F278735" w:rsidR="00092D89" w:rsidRDefault="00000000" w:rsidP="002C3FDA">
          <w:pPr>
            <w:pStyle w:val="TOC2"/>
            <w:rPr>
              <w:rFonts w:asciiTheme="minorHAnsi" w:eastAsiaTheme="minorEastAsia" w:hAnsiTheme="minorHAnsi" w:cstheme="minorBidi"/>
              <w:kern w:val="2"/>
              <w:lang w:eastAsia="en-GB"/>
              <w14:ligatures w14:val="standardContextual"/>
            </w:rPr>
          </w:pPr>
          <w:hyperlink w:anchor="_Toc174365498" w:history="1">
            <w:r w:rsidR="00092D89" w:rsidRPr="005F200A">
              <w:rPr>
                <w:rStyle w:val="Hyperlink"/>
              </w:rPr>
              <w:t>3.2</w:t>
            </w:r>
            <w:r w:rsidR="00092D89">
              <w:rPr>
                <w:rFonts w:asciiTheme="minorHAnsi" w:eastAsiaTheme="minorEastAsia" w:hAnsiTheme="minorHAnsi" w:cstheme="minorBidi"/>
                <w:kern w:val="2"/>
                <w:lang w:eastAsia="en-GB"/>
                <w14:ligatures w14:val="standardContextual"/>
              </w:rPr>
              <w:tab/>
            </w:r>
            <w:r w:rsidR="00092D89" w:rsidRPr="005F200A">
              <w:rPr>
                <w:rStyle w:val="Hyperlink"/>
              </w:rPr>
              <w:t xml:space="preserve">Deferred Payments </w:t>
            </w:r>
            <w:r w:rsidR="00092D89" w:rsidRPr="00C651BF">
              <w:rPr>
                <w:rStyle w:val="Hyperlink"/>
                <w:color w:val="auto"/>
                <w:u w:val="none"/>
              </w:rPr>
              <w:t>Agreement</w:t>
            </w:r>
            <w:r w:rsidR="00092D89" w:rsidRPr="005F200A">
              <w:rPr>
                <w:rStyle w:val="Hyperlink"/>
              </w:rPr>
              <w:t xml:space="preserve"> Scheme</w:t>
            </w:r>
            <w:r w:rsidR="00092D89">
              <w:rPr>
                <w:webHidden/>
              </w:rPr>
              <w:tab/>
            </w:r>
            <w:r w:rsidR="00092D89">
              <w:rPr>
                <w:webHidden/>
              </w:rPr>
              <w:fldChar w:fldCharType="begin"/>
            </w:r>
            <w:r w:rsidR="00092D89">
              <w:rPr>
                <w:webHidden/>
              </w:rPr>
              <w:instrText xml:space="preserve"> PAGEREF _Toc174365498 \h </w:instrText>
            </w:r>
            <w:r w:rsidR="00092D89">
              <w:rPr>
                <w:webHidden/>
              </w:rPr>
            </w:r>
            <w:r w:rsidR="00092D89">
              <w:rPr>
                <w:webHidden/>
              </w:rPr>
              <w:fldChar w:fldCharType="separate"/>
            </w:r>
            <w:r w:rsidR="00092D89">
              <w:rPr>
                <w:webHidden/>
              </w:rPr>
              <w:t>8</w:t>
            </w:r>
            <w:r w:rsidR="00092D89">
              <w:rPr>
                <w:webHidden/>
              </w:rPr>
              <w:fldChar w:fldCharType="end"/>
            </w:r>
          </w:hyperlink>
        </w:p>
        <w:p w14:paraId="5DFFAE34" w14:textId="7756EE06" w:rsidR="00092D89" w:rsidRDefault="00000000" w:rsidP="002C3FDA">
          <w:pPr>
            <w:pStyle w:val="TOC2"/>
            <w:rPr>
              <w:rFonts w:asciiTheme="minorHAnsi" w:eastAsiaTheme="minorEastAsia" w:hAnsiTheme="minorHAnsi" w:cstheme="minorBidi"/>
              <w:kern w:val="2"/>
              <w:lang w:eastAsia="en-GB"/>
              <w14:ligatures w14:val="standardContextual"/>
            </w:rPr>
          </w:pPr>
          <w:hyperlink w:anchor="_Toc174365499" w:history="1">
            <w:r w:rsidR="00092D89" w:rsidRPr="005F200A">
              <w:rPr>
                <w:rStyle w:val="Hyperlink"/>
              </w:rPr>
              <w:t>3.3</w:t>
            </w:r>
            <w:r w:rsidR="00092D89">
              <w:rPr>
                <w:rFonts w:asciiTheme="minorHAnsi" w:eastAsiaTheme="minorEastAsia" w:hAnsiTheme="minorHAnsi" w:cstheme="minorBidi"/>
                <w:kern w:val="2"/>
                <w:lang w:eastAsia="en-GB"/>
                <w14:ligatures w14:val="standardContextual"/>
              </w:rPr>
              <w:tab/>
            </w:r>
            <w:r w:rsidR="00092D89" w:rsidRPr="005F200A">
              <w:rPr>
                <w:rStyle w:val="Hyperlink"/>
              </w:rPr>
              <w:t>Top Up fees</w:t>
            </w:r>
            <w:r w:rsidR="00092D89">
              <w:rPr>
                <w:webHidden/>
              </w:rPr>
              <w:tab/>
            </w:r>
            <w:r w:rsidR="00092D89">
              <w:rPr>
                <w:webHidden/>
              </w:rPr>
              <w:fldChar w:fldCharType="begin"/>
            </w:r>
            <w:r w:rsidR="00092D89">
              <w:rPr>
                <w:webHidden/>
              </w:rPr>
              <w:instrText xml:space="preserve"> PAGEREF _Toc174365499 \h </w:instrText>
            </w:r>
            <w:r w:rsidR="00092D89">
              <w:rPr>
                <w:webHidden/>
              </w:rPr>
            </w:r>
            <w:r w:rsidR="00092D89">
              <w:rPr>
                <w:webHidden/>
              </w:rPr>
              <w:fldChar w:fldCharType="separate"/>
            </w:r>
            <w:r w:rsidR="00092D89">
              <w:rPr>
                <w:webHidden/>
              </w:rPr>
              <w:t>8</w:t>
            </w:r>
            <w:r w:rsidR="00092D89">
              <w:rPr>
                <w:webHidden/>
              </w:rPr>
              <w:fldChar w:fldCharType="end"/>
            </w:r>
          </w:hyperlink>
        </w:p>
        <w:p w14:paraId="34CAE67F" w14:textId="2441EC56" w:rsidR="00092D89" w:rsidRDefault="00000000" w:rsidP="002C3FDA">
          <w:pPr>
            <w:pStyle w:val="TOC3"/>
            <w:rPr>
              <w:rFonts w:asciiTheme="minorHAnsi" w:eastAsiaTheme="minorEastAsia" w:hAnsiTheme="minorHAnsi" w:cstheme="minorBidi"/>
              <w:kern w:val="2"/>
              <w:lang w:eastAsia="en-GB"/>
              <w14:ligatures w14:val="standardContextual"/>
            </w:rPr>
          </w:pPr>
          <w:hyperlink w:anchor="_Toc174365500" w:history="1">
            <w:r w:rsidR="00092D89" w:rsidRPr="005F200A">
              <w:rPr>
                <w:rStyle w:val="Hyperlink"/>
              </w:rPr>
              <w:t>i.</w:t>
            </w:r>
            <w:r w:rsidR="00092D89">
              <w:rPr>
                <w:rFonts w:asciiTheme="minorHAnsi" w:eastAsiaTheme="minorEastAsia" w:hAnsiTheme="minorHAnsi" w:cstheme="minorBidi"/>
                <w:kern w:val="2"/>
                <w:lang w:eastAsia="en-GB"/>
                <w14:ligatures w14:val="standardContextual"/>
              </w:rPr>
              <w:tab/>
            </w:r>
            <w:r w:rsidR="00092D89" w:rsidRPr="005F200A">
              <w:rPr>
                <w:rStyle w:val="Hyperlink"/>
              </w:rPr>
              <w:t>Third-</w:t>
            </w:r>
            <w:r w:rsidR="00092D89" w:rsidRPr="00092D89">
              <w:rPr>
                <w:rStyle w:val="Hyperlink"/>
                <w:color w:val="auto"/>
                <w:u w:val="none"/>
              </w:rPr>
              <w:t>party</w:t>
            </w:r>
            <w:r w:rsidR="00092D89" w:rsidRPr="005F200A">
              <w:rPr>
                <w:rStyle w:val="Hyperlink"/>
              </w:rPr>
              <w:t xml:space="preserve"> </w:t>
            </w:r>
            <w:r w:rsidR="00092D89" w:rsidRPr="00C651BF">
              <w:rPr>
                <w:rStyle w:val="Hyperlink"/>
                <w:color w:val="auto"/>
                <w:u w:val="none"/>
              </w:rPr>
              <w:t>top</w:t>
            </w:r>
            <w:r w:rsidR="00092D89" w:rsidRPr="005F200A">
              <w:rPr>
                <w:rStyle w:val="Hyperlink"/>
              </w:rPr>
              <w:t>-up fees</w:t>
            </w:r>
            <w:r w:rsidR="00092D89">
              <w:rPr>
                <w:webHidden/>
              </w:rPr>
              <w:tab/>
            </w:r>
            <w:r w:rsidR="00092D89">
              <w:rPr>
                <w:webHidden/>
              </w:rPr>
              <w:fldChar w:fldCharType="begin"/>
            </w:r>
            <w:r w:rsidR="00092D89">
              <w:rPr>
                <w:webHidden/>
              </w:rPr>
              <w:instrText xml:space="preserve"> PAGEREF _Toc174365500 \h </w:instrText>
            </w:r>
            <w:r w:rsidR="00092D89">
              <w:rPr>
                <w:webHidden/>
              </w:rPr>
            </w:r>
            <w:r w:rsidR="00092D89">
              <w:rPr>
                <w:webHidden/>
              </w:rPr>
              <w:fldChar w:fldCharType="separate"/>
            </w:r>
            <w:r w:rsidR="00092D89">
              <w:rPr>
                <w:webHidden/>
              </w:rPr>
              <w:t>8</w:t>
            </w:r>
            <w:r w:rsidR="00092D89">
              <w:rPr>
                <w:webHidden/>
              </w:rPr>
              <w:fldChar w:fldCharType="end"/>
            </w:r>
          </w:hyperlink>
        </w:p>
        <w:p w14:paraId="66F9554D" w14:textId="614044AA" w:rsidR="00092D89" w:rsidRDefault="00000000" w:rsidP="002C3FDA">
          <w:pPr>
            <w:pStyle w:val="TOC3"/>
            <w:rPr>
              <w:rFonts w:asciiTheme="minorHAnsi" w:eastAsiaTheme="minorEastAsia" w:hAnsiTheme="minorHAnsi" w:cstheme="minorBidi"/>
              <w:kern w:val="2"/>
              <w:lang w:eastAsia="en-GB"/>
              <w14:ligatures w14:val="standardContextual"/>
            </w:rPr>
          </w:pPr>
          <w:hyperlink w:anchor="_Toc174365501" w:history="1">
            <w:r w:rsidR="00092D89" w:rsidRPr="005F200A">
              <w:rPr>
                <w:rStyle w:val="Hyperlink"/>
              </w:rPr>
              <w:t>ii.</w:t>
            </w:r>
            <w:r w:rsidR="00092D89">
              <w:rPr>
                <w:rFonts w:asciiTheme="minorHAnsi" w:eastAsiaTheme="minorEastAsia" w:hAnsiTheme="minorHAnsi" w:cstheme="minorBidi"/>
                <w:kern w:val="2"/>
                <w:lang w:eastAsia="en-GB"/>
                <w14:ligatures w14:val="standardContextual"/>
              </w:rPr>
              <w:tab/>
            </w:r>
            <w:r w:rsidR="00092D89" w:rsidRPr="005F200A">
              <w:rPr>
                <w:rStyle w:val="Hyperlink"/>
              </w:rPr>
              <w:t>First-party top-up fees</w:t>
            </w:r>
            <w:r w:rsidR="00092D89">
              <w:rPr>
                <w:webHidden/>
              </w:rPr>
              <w:tab/>
            </w:r>
            <w:r w:rsidR="00092D89">
              <w:rPr>
                <w:webHidden/>
              </w:rPr>
              <w:fldChar w:fldCharType="begin"/>
            </w:r>
            <w:r w:rsidR="00092D89">
              <w:rPr>
                <w:webHidden/>
              </w:rPr>
              <w:instrText xml:space="preserve"> PAGEREF _Toc174365501 \h </w:instrText>
            </w:r>
            <w:r w:rsidR="00092D89">
              <w:rPr>
                <w:webHidden/>
              </w:rPr>
            </w:r>
            <w:r w:rsidR="00092D89">
              <w:rPr>
                <w:webHidden/>
              </w:rPr>
              <w:fldChar w:fldCharType="separate"/>
            </w:r>
            <w:r w:rsidR="00092D89">
              <w:rPr>
                <w:webHidden/>
              </w:rPr>
              <w:t>9</w:t>
            </w:r>
            <w:r w:rsidR="00092D89">
              <w:rPr>
                <w:webHidden/>
              </w:rPr>
              <w:fldChar w:fldCharType="end"/>
            </w:r>
          </w:hyperlink>
        </w:p>
        <w:p w14:paraId="064A4989" w14:textId="0DB9D86A" w:rsidR="00092D89" w:rsidRDefault="00000000" w:rsidP="002C3FDA">
          <w:pPr>
            <w:pStyle w:val="TOC1"/>
            <w:rPr>
              <w:rFonts w:asciiTheme="minorHAnsi" w:eastAsiaTheme="minorEastAsia" w:hAnsiTheme="minorHAnsi" w:cstheme="minorBidi"/>
              <w:kern w:val="2"/>
              <w:lang w:eastAsia="en-GB"/>
              <w14:ligatures w14:val="standardContextual"/>
            </w:rPr>
          </w:pPr>
          <w:hyperlink w:anchor="_Toc174365502" w:history="1">
            <w:r w:rsidR="00092D89" w:rsidRPr="005F200A">
              <w:rPr>
                <w:rStyle w:val="Hyperlink"/>
              </w:rPr>
              <w:t>4.</w:t>
            </w:r>
            <w:r w:rsidR="00092D89">
              <w:rPr>
                <w:rFonts w:asciiTheme="minorHAnsi" w:eastAsiaTheme="minorEastAsia" w:hAnsiTheme="minorHAnsi" w:cstheme="minorBidi"/>
                <w:kern w:val="2"/>
                <w:lang w:eastAsia="en-GB"/>
                <w14:ligatures w14:val="standardContextual"/>
              </w:rPr>
              <w:tab/>
            </w:r>
            <w:r w:rsidR="00092D89" w:rsidRPr="005F200A">
              <w:rPr>
                <w:rStyle w:val="Hyperlink"/>
              </w:rPr>
              <w:t>Principles for Debt Recovery</w:t>
            </w:r>
            <w:r w:rsidR="00092D89">
              <w:rPr>
                <w:webHidden/>
              </w:rPr>
              <w:tab/>
            </w:r>
            <w:r w:rsidR="00092D89">
              <w:rPr>
                <w:webHidden/>
              </w:rPr>
              <w:fldChar w:fldCharType="begin"/>
            </w:r>
            <w:r w:rsidR="00092D89">
              <w:rPr>
                <w:webHidden/>
              </w:rPr>
              <w:instrText xml:space="preserve"> PAGEREF _Toc174365502 \h </w:instrText>
            </w:r>
            <w:r w:rsidR="00092D89">
              <w:rPr>
                <w:webHidden/>
              </w:rPr>
            </w:r>
            <w:r w:rsidR="00092D89">
              <w:rPr>
                <w:webHidden/>
              </w:rPr>
              <w:fldChar w:fldCharType="separate"/>
            </w:r>
            <w:r w:rsidR="00092D89">
              <w:rPr>
                <w:webHidden/>
              </w:rPr>
              <w:t>9</w:t>
            </w:r>
            <w:r w:rsidR="00092D89">
              <w:rPr>
                <w:webHidden/>
              </w:rPr>
              <w:fldChar w:fldCharType="end"/>
            </w:r>
          </w:hyperlink>
        </w:p>
        <w:p w14:paraId="6AF3C916" w14:textId="3B8753B8" w:rsidR="00092D89" w:rsidRDefault="00000000" w:rsidP="002C3FDA">
          <w:pPr>
            <w:pStyle w:val="TOC1"/>
            <w:rPr>
              <w:rFonts w:asciiTheme="minorHAnsi" w:eastAsiaTheme="minorEastAsia" w:hAnsiTheme="minorHAnsi" w:cstheme="minorBidi"/>
              <w:kern w:val="2"/>
              <w:lang w:eastAsia="en-GB"/>
              <w14:ligatures w14:val="standardContextual"/>
            </w:rPr>
          </w:pPr>
          <w:hyperlink w:anchor="_Toc174365503" w:history="1">
            <w:r w:rsidR="00092D89" w:rsidRPr="005F200A">
              <w:rPr>
                <w:rStyle w:val="Hyperlink"/>
              </w:rPr>
              <w:t>5.</w:t>
            </w:r>
            <w:r w:rsidR="00092D89">
              <w:rPr>
                <w:rFonts w:asciiTheme="minorHAnsi" w:eastAsiaTheme="minorEastAsia" w:hAnsiTheme="minorHAnsi" w:cstheme="minorBidi"/>
                <w:kern w:val="2"/>
                <w:lang w:eastAsia="en-GB"/>
                <w14:ligatures w14:val="standardContextual"/>
              </w:rPr>
              <w:tab/>
            </w:r>
            <w:r w:rsidR="00092D89" w:rsidRPr="005F200A">
              <w:rPr>
                <w:rStyle w:val="Hyperlink"/>
              </w:rPr>
              <w:t>Debt Recovery Process</w:t>
            </w:r>
            <w:r w:rsidR="00092D89">
              <w:rPr>
                <w:webHidden/>
              </w:rPr>
              <w:tab/>
            </w:r>
            <w:r w:rsidR="00092D89">
              <w:rPr>
                <w:webHidden/>
              </w:rPr>
              <w:fldChar w:fldCharType="begin"/>
            </w:r>
            <w:r w:rsidR="00092D89">
              <w:rPr>
                <w:webHidden/>
              </w:rPr>
              <w:instrText xml:space="preserve"> PAGEREF _Toc174365503 \h </w:instrText>
            </w:r>
            <w:r w:rsidR="00092D89">
              <w:rPr>
                <w:webHidden/>
              </w:rPr>
            </w:r>
            <w:r w:rsidR="00092D89">
              <w:rPr>
                <w:webHidden/>
              </w:rPr>
              <w:fldChar w:fldCharType="separate"/>
            </w:r>
            <w:r w:rsidR="00092D89">
              <w:rPr>
                <w:webHidden/>
              </w:rPr>
              <w:t>10</w:t>
            </w:r>
            <w:r w:rsidR="00092D89">
              <w:rPr>
                <w:webHidden/>
              </w:rPr>
              <w:fldChar w:fldCharType="end"/>
            </w:r>
          </w:hyperlink>
        </w:p>
        <w:p w14:paraId="2576334D" w14:textId="7EDE5727" w:rsidR="00092D89" w:rsidRDefault="00000000" w:rsidP="002C3FDA">
          <w:pPr>
            <w:pStyle w:val="TOC2"/>
            <w:rPr>
              <w:rFonts w:asciiTheme="minorHAnsi" w:eastAsiaTheme="minorEastAsia" w:hAnsiTheme="minorHAnsi" w:cstheme="minorBidi"/>
              <w:kern w:val="2"/>
              <w:lang w:eastAsia="en-GB"/>
              <w14:ligatures w14:val="standardContextual"/>
            </w:rPr>
          </w:pPr>
          <w:hyperlink w:anchor="_Toc174365504" w:history="1">
            <w:r w:rsidR="00092D89" w:rsidRPr="005F200A">
              <w:rPr>
                <w:rStyle w:val="Hyperlink"/>
              </w:rPr>
              <w:t>5.1</w:t>
            </w:r>
            <w:r w:rsidR="00092D89">
              <w:rPr>
                <w:rFonts w:asciiTheme="minorHAnsi" w:eastAsiaTheme="minorEastAsia" w:hAnsiTheme="minorHAnsi" w:cstheme="minorBidi"/>
                <w:kern w:val="2"/>
                <w:lang w:eastAsia="en-GB"/>
                <w14:ligatures w14:val="standardContextual"/>
              </w:rPr>
              <w:tab/>
            </w:r>
            <w:r w:rsidR="00092D89" w:rsidRPr="005F200A">
              <w:rPr>
                <w:rStyle w:val="Hyperlink"/>
              </w:rPr>
              <w:t>Overdue invoice reminder</w:t>
            </w:r>
            <w:r w:rsidR="00092D89">
              <w:rPr>
                <w:webHidden/>
              </w:rPr>
              <w:tab/>
            </w:r>
            <w:r w:rsidR="00092D89">
              <w:rPr>
                <w:webHidden/>
              </w:rPr>
              <w:fldChar w:fldCharType="begin"/>
            </w:r>
            <w:r w:rsidR="00092D89">
              <w:rPr>
                <w:webHidden/>
              </w:rPr>
              <w:instrText xml:space="preserve"> PAGEREF _Toc174365504 \h </w:instrText>
            </w:r>
            <w:r w:rsidR="00092D89">
              <w:rPr>
                <w:webHidden/>
              </w:rPr>
            </w:r>
            <w:r w:rsidR="00092D89">
              <w:rPr>
                <w:webHidden/>
              </w:rPr>
              <w:fldChar w:fldCharType="separate"/>
            </w:r>
            <w:r w:rsidR="00092D89">
              <w:rPr>
                <w:webHidden/>
              </w:rPr>
              <w:t>10</w:t>
            </w:r>
            <w:r w:rsidR="00092D89">
              <w:rPr>
                <w:webHidden/>
              </w:rPr>
              <w:fldChar w:fldCharType="end"/>
            </w:r>
          </w:hyperlink>
        </w:p>
        <w:p w14:paraId="429AD070" w14:textId="52218ECA" w:rsidR="00092D89" w:rsidRDefault="00000000" w:rsidP="002C3FDA">
          <w:pPr>
            <w:pStyle w:val="TOC2"/>
            <w:rPr>
              <w:rFonts w:asciiTheme="minorHAnsi" w:eastAsiaTheme="minorEastAsia" w:hAnsiTheme="minorHAnsi" w:cstheme="minorBidi"/>
              <w:kern w:val="2"/>
              <w:lang w:eastAsia="en-GB"/>
              <w14:ligatures w14:val="standardContextual"/>
            </w:rPr>
          </w:pPr>
          <w:hyperlink w:anchor="_Toc174365505" w:history="1">
            <w:r w:rsidR="00092D89" w:rsidRPr="005F200A">
              <w:rPr>
                <w:rStyle w:val="Hyperlink"/>
              </w:rPr>
              <w:t>5.2</w:t>
            </w:r>
            <w:r w:rsidR="00092D89">
              <w:rPr>
                <w:rFonts w:asciiTheme="minorHAnsi" w:eastAsiaTheme="minorEastAsia" w:hAnsiTheme="minorHAnsi" w:cstheme="minorBidi"/>
                <w:kern w:val="2"/>
                <w:lang w:eastAsia="en-GB"/>
                <w14:ligatures w14:val="standardContextual"/>
              </w:rPr>
              <w:tab/>
            </w:r>
            <w:r w:rsidR="00092D89" w:rsidRPr="005F200A">
              <w:rPr>
                <w:rStyle w:val="Hyperlink"/>
              </w:rPr>
              <w:t>First Reminder</w:t>
            </w:r>
            <w:r w:rsidR="00092D89">
              <w:rPr>
                <w:webHidden/>
              </w:rPr>
              <w:tab/>
            </w:r>
            <w:r w:rsidR="00092D89">
              <w:rPr>
                <w:webHidden/>
              </w:rPr>
              <w:fldChar w:fldCharType="begin"/>
            </w:r>
            <w:r w:rsidR="00092D89">
              <w:rPr>
                <w:webHidden/>
              </w:rPr>
              <w:instrText xml:space="preserve"> PAGEREF _Toc174365505 \h </w:instrText>
            </w:r>
            <w:r w:rsidR="00092D89">
              <w:rPr>
                <w:webHidden/>
              </w:rPr>
            </w:r>
            <w:r w:rsidR="00092D89">
              <w:rPr>
                <w:webHidden/>
              </w:rPr>
              <w:fldChar w:fldCharType="separate"/>
            </w:r>
            <w:r w:rsidR="00092D89">
              <w:rPr>
                <w:webHidden/>
              </w:rPr>
              <w:t>10</w:t>
            </w:r>
            <w:r w:rsidR="00092D89">
              <w:rPr>
                <w:webHidden/>
              </w:rPr>
              <w:fldChar w:fldCharType="end"/>
            </w:r>
          </w:hyperlink>
        </w:p>
        <w:p w14:paraId="483B2CC2" w14:textId="3EE90539" w:rsidR="00092D89" w:rsidRDefault="00000000" w:rsidP="002C3FDA">
          <w:pPr>
            <w:pStyle w:val="TOC2"/>
            <w:rPr>
              <w:rFonts w:asciiTheme="minorHAnsi" w:eastAsiaTheme="minorEastAsia" w:hAnsiTheme="minorHAnsi" w:cstheme="minorBidi"/>
              <w:kern w:val="2"/>
              <w:lang w:eastAsia="en-GB"/>
              <w14:ligatures w14:val="standardContextual"/>
            </w:rPr>
          </w:pPr>
          <w:hyperlink w:anchor="_Toc174365506" w:history="1">
            <w:r w:rsidR="00092D89" w:rsidRPr="005F200A">
              <w:rPr>
                <w:rStyle w:val="Hyperlink"/>
              </w:rPr>
              <w:t>5.3</w:t>
            </w:r>
            <w:r w:rsidR="00092D89">
              <w:rPr>
                <w:rFonts w:asciiTheme="minorHAnsi" w:eastAsiaTheme="minorEastAsia" w:hAnsiTheme="minorHAnsi" w:cstheme="minorBidi"/>
                <w:kern w:val="2"/>
                <w:lang w:eastAsia="en-GB"/>
                <w14:ligatures w14:val="standardContextual"/>
              </w:rPr>
              <w:tab/>
            </w:r>
            <w:r w:rsidR="00092D89" w:rsidRPr="005F200A">
              <w:rPr>
                <w:rStyle w:val="Hyperlink"/>
              </w:rPr>
              <w:t>Final reminder</w:t>
            </w:r>
            <w:r w:rsidR="00092D89">
              <w:rPr>
                <w:webHidden/>
              </w:rPr>
              <w:tab/>
            </w:r>
            <w:r w:rsidR="00092D89">
              <w:rPr>
                <w:webHidden/>
              </w:rPr>
              <w:fldChar w:fldCharType="begin"/>
            </w:r>
            <w:r w:rsidR="00092D89">
              <w:rPr>
                <w:webHidden/>
              </w:rPr>
              <w:instrText xml:space="preserve"> PAGEREF _Toc174365506 \h </w:instrText>
            </w:r>
            <w:r w:rsidR="00092D89">
              <w:rPr>
                <w:webHidden/>
              </w:rPr>
            </w:r>
            <w:r w:rsidR="00092D89">
              <w:rPr>
                <w:webHidden/>
              </w:rPr>
              <w:fldChar w:fldCharType="separate"/>
            </w:r>
            <w:r w:rsidR="00092D89">
              <w:rPr>
                <w:webHidden/>
              </w:rPr>
              <w:t>10</w:t>
            </w:r>
            <w:r w:rsidR="00092D89">
              <w:rPr>
                <w:webHidden/>
              </w:rPr>
              <w:fldChar w:fldCharType="end"/>
            </w:r>
          </w:hyperlink>
        </w:p>
        <w:p w14:paraId="2130E0AD" w14:textId="286456B8" w:rsidR="00092D89" w:rsidRDefault="00000000" w:rsidP="002C3FDA">
          <w:pPr>
            <w:pStyle w:val="TOC2"/>
            <w:rPr>
              <w:rFonts w:asciiTheme="minorHAnsi" w:eastAsiaTheme="minorEastAsia" w:hAnsiTheme="minorHAnsi" w:cstheme="minorBidi"/>
              <w:kern w:val="2"/>
              <w:lang w:eastAsia="en-GB"/>
              <w14:ligatures w14:val="standardContextual"/>
            </w:rPr>
          </w:pPr>
          <w:hyperlink w:anchor="_Toc174365507" w:history="1">
            <w:r w:rsidR="00092D89" w:rsidRPr="005F200A">
              <w:rPr>
                <w:rStyle w:val="Hyperlink"/>
              </w:rPr>
              <w:t>5.4</w:t>
            </w:r>
            <w:r w:rsidR="00092D89">
              <w:rPr>
                <w:rFonts w:asciiTheme="minorHAnsi" w:eastAsiaTheme="minorEastAsia" w:hAnsiTheme="minorHAnsi" w:cstheme="minorBidi"/>
                <w:kern w:val="2"/>
                <w:lang w:eastAsia="en-GB"/>
                <w14:ligatures w14:val="standardContextual"/>
              </w:rPr>
              <w:tab/>
            </w:r>
            <w:r w:rsidR="00092D89" w:rsidRPr="005F200A">
              <w:rPr>
                <w:rStyle w:val="Hyperlink"/>
              </w:rPr>
              <w:t>Further action</w:t>
            </w:r>
            <w:r w:rsidR="00092D89">
              <w:rPr>
                <w:webHidden/>
              </w:rPr>
              <w:tab/>
            </w:r>
            <w:r w:rsidR="00092D89">
              <w:rPr>
                <w:webHidden/>
              </w:rPr>
              <w:fldChar w:fldCharType="begin"/>
            </w:r>
            <w:r w:rsidR="00092D89">
              <w:rPr>
                <w:webHidden/>
              </w:rPr>
              <w:instrText xml:space="preserve"> PAGEREF _Toc174365507 \h </w:instrText>
            </w:r>
            <w:r w:rsidR="00092D89">
              <w:rPr>
                <w:webHidden/>
              </w:rPr>
            </w:r>
            <w:r w:rsidR="00092D89">
              <w:rPr>
                <w:webHidden/>
              </w:rPr>
              <w:fldChar w:fldCharType="separate"/>
            </w:r>
            <w:r w:rsidR="00092D89">
              <w:rPr>
                <w:webHidden/>
              </w:rPr>
              <w:t>10</w:t>
            </w:r>
            <w:r w:rsidR="00092D89">
              <w:rPr>
                <w:webHidden/>
              </w:rPr>
              <w:fldChar w:fldCharType="end"/>
            </w:r>
          </w:hyperlink>
        </w:p>
        <w:p w14:paraId="6B280A49" w14:textId="610094D3" w:rsidR="00092D89" w:rsidRDefault="00000000" w:rsidP="002C3FDA">
          <w:pPr>
            <w:pStyle w:val="TOC1"/>
            <w:rPr>
              <w:rFonts w:asciiTheme="minorHAnsi" w:eastAsiaTheme="minorEastAsia" w:hAnsiTheme="minorHAnsi" w:cstheme="minorBidi"/>
              <w:kern w:val="2"/>
              <w:lang w:eastAsia="en-GB"/>
              <w14:ligatures w14:val="standardContextual"/>
            </w:rPr>
          </w:pPr>
          <w:hyperlink w:anchor="_Toc174365508" w:history="1">
            <w:r w:rsidR="00092D89" w:rsidRPr="005F200A">
              <w:rPr>
                <w:rStyle w:val="Hyperlink"/>
              </w:rPr>
              <w:t>6.</w:t>
            </w:r>
            <w:r w:rsidR="00092D89">
              <w:rPr>
                <w:rFonts w:asciiTheme="minorHAnsi" w:eastAsiaTheme="minorEastAsia" w:hAnsiTheme="minorHAnsi" w:cstheme="minorBidi"/>
                <w:kern w:val="2"/>
                <w:lang w:eastAsia="en-GB"/>
                <w14:ligatures w14:val="standardContextual"/>
              </w:rPr>
              <w:tab/>
            </w:r>
            <w:r w:rsidR="00092D89" w:rsidRPr="002C3FDA">
              <w:rPr>
                <w:rStyle w:val="Hyperlink"/>
                <w:color w:val="auto"/>
                <w:u w:val="none"/>
              </w:rPr>
              <w:t>County</w:t>
            </w:r>
            <w:r w:rsidR="00092D89" w:rsidRPr="005F200A">
              <w:rPr>
                <w:rStyle w:val="Hyperlink"/>
              </w:rPr>
              <w:t xml:space="preserve"> Court Judgments (CCJs)</w:t>
            </w:r>
            <w:r w:rsidR="00092D89">
              <w:rPr>
                <w:webHidden/>
              </w:rPr>
              <w:tab/>
            </w:r>
            <w:r w:rsidR="00092D89">
              <w:rPr>
                <w:webHidden/>
              </w:rPr>
              <w:fldChar w:fldCharType="begin"/>
            </w:r>
            <w:r w:rsidR="00092D89">
              <w:rPr>
                <w:webHidden/>
              </w:rPr>
              <w:instrText xml:space="preserve"> PAGEREF _Toc174365508 \h </w:instrText>
            </w:r>
            <w:r w:rsidR="00092D89">
              <w:rPr>
                <w:webHidden/>
              </w:rPr>
            </w:r>
            <w:r w:rsidR="00092D89">
              <w:rPr>
                <w:webHidden/>
              </w:rPr>
              <w:fldChar w:fldCharType="separate"/>
            </w:r>
            <w:r w:rsidR="00092D89">
              <w:rPr>
                <w:webHidden/>
              </w:rPr>
              <w:t>11</w:t>
            </w:r>
            <w:r w:rsidR="00092D89">
              <w:rPr>
                <w:webHidden/>
              </w:rPr>
              <w:fldChar w:fldCharType="end"/>
            </w:r>
          </w:hyperlink>
        </w:p>
        <w:p w14:paraId="7A1F909F" w14:textId="2D6C2CA5" w:rsidR="00092D89" w:rsidRDefault="00000000" w:rsidP="002C3FDA">
          <w:pPr>
            <w:pStyle w:val="TOC2"/>
            <w:rPr>
              <w:rFonts w:asciiTheme="minorHAnsi" w:eastAsiaTheme="minorEastAsia" w:hAnsiTheme="minorHAnsi" w:cstheme="minorBidi"/>
              <w:kern w:val="2"/>
              <w:lang w:eastAsia="en-GB"/>
              <w14:ligatures w14:val="standardContextual"/>
            </w:rPr>
          </w:pPr>
          <w:hyperlink w:anchor="_Toc174365509" w:history="1">
            <w:r w:rsidR="00092D89" w:rsidRPr="005F200A">
              <w:rPr>
                <w:rStyle w:val="Hyperlink"/>
              </w:rPr>
              <w:t>6.1</w:t>
            </w:r>
            <w:r w:rsidR="00092D89">
              <w:rPr>
                <w:rFonts w:asciiTheme="minorHAnsi" w:eastAsiaTheme="minorEastAsia" w:hAnsiTheme="minorHAnsi" w:cstheme="minorBidi"/>
                <w:kern w:val="2"/>
                <w:lang w:eastAsia="en-GB"/>
                <w14:ligatures w14:val="standardContextual"/>
              </w:rPr>
              <w:tab/>
            </w:r>
            <w:r w:rsidR="00092D89" w:rsidRPr="005F200A">
              <w:rPr>
                <w:rStyle w:val="Hyperlink"/>
              </w:rPr>
              <w:t>County Court Judgment</w:t>
            </w:r>
            <w:r w:rsidR="00092D89">
              <w:rPr>
                <w:webHidden/>
              </w:rPr>
              <w:tab/>
            </w:r>
            <w:r w:rsidR="00092D89">
              <w:rPr>
                <w:webHidden/>
              </w:rPr>
              <w:fldChar w:fldCharType="begin"/>
            </w:r>
            <w:r w:rsidR="00092D89">
              <w:rPr>
                <w:webHidden/>
              </w:rPr>
              <w:instrText xml:space="preserve"> PAGEREF _Toc174365509 \h </w:instrText>
            </w:r>
            <w:r w:rsidR="00092D89">
              <w:rPr>
                <w:webHidden/>
              </w:rPr>
            </w:r>
            <w:r w:rsidR="00092D89">
              <w:rPr>
                <w:webHidden/>
              </w:rPr>
              <w:fldChar w:fldCharType="separate"/>
            </w:r>
            <w:r w:rsidR="00092D89">
              <w:rPr>
                <w:webHidden/>
              </w:rPr>
              <w:t>11</w:t>
            </w:r>
            <w:r w:rsidR="00092D89">
              <w:rPr>
                <w:webHidden/>
              </w:rPr>
              <w:fldChar w:fldCharType="end"/>
            </w:r>
          </w:hyperlink>
        </w:p>
        <w:p w14:paraId="27FC1894" w14:textId="6F76F982" w:rsidR="00092D89" w:rsidRDefault="00000000" w:rsidP="002C3FDA">
          <w:pPr>
            <w:pStyle w:val="TOC2"/>
            <w:rPr>
              <w:rFonts w:asciiTheme="minorHAnsi" w:eastAsiaTheme="minorEastAsia" w:hAnsiTheme="minorHAnsi" w:cstheme="minorBidi"/>
              <w:kern w:val="2"/>
              <w:lang w:eastAsia="en-GB"/>
              <w14:ligatures w14:val="standardContextual"/>
            </w:rPr>
          </w:pPr>
          <w:hyperlink w:anchor="_Toc174365510" w:history="1">
            <w:r w:rsidR="00092D89" w:rsidRPr="005F200A">
              <w:rPr>
                <w:rStyle w:val="Hyperlink"/>
              </w:rPr>
              <w:t>6.2</w:t>
            </w:r>
            <w:r w:rsidR="00092D89">
              <w:rPr>
                <w:rFonts w:asciiTheme="minorHAnsi" w:eastAsiaTheme="minorEastAsia" w:hAnsiTheme="minorHAnsi" w:cstheme="minorBidi"/>
                <w:kern w:val="2"/>
                <w:lang w:eastAsia="en-GB"/>
                <w14:ligatures w14:val="standardContextual"/>
              </w:rPr>
              <w:tab/>
            </w:r>
            <w:r w:rsidR="00092D89" w:rsidRPr="005F200A">
              <w:rPr>
                <w:rStyle w:val="Hyperlink"/>
              </w:rPr>
              <w:t>Actions that can be taken once a CCJ is obtained, and the debt remains unpaid, or a repayment plan has not been agreed.</w:t>
            </w:r>
            <w:r w:rsidR="00092D89">
              <w:rPr>
                <w:webHidden/>
              </w:rPr>
              <w:tab/>
            </w:r>
            <w:r w:rsidR="00092D89">
              <w:rPr>
                <w:webHidden/>
              </w:rPr>
              <w:fldChar w:fldCharType="begin"/>
            </w:r>
            <w:r w:rsidR="00092D89">
              <w:rPr>
                <w:webHidden/>
              </w:rPr>
              <w:instrText xml:space="preserve"> PAGEREF _Toc174365510 \h </w:instrText>
            </w:r>
            <w:r w:rsidR="00092D89">
              <w:rPr>
                <w:webHidden/>
              </w:rPr>
            </w:r>
            <w:r w:rsidR="00092D89">
              <w:rPr>
                <w:webHidden/>
              </w:rPr>
              <w:fldChar w:fldCharType="separate"/>
            </w:r>
            <w:r w:rsidR="00092D89">
              <w:rPr>
                <w:webHidden/>
              </w:rPr>
              <w:t>11</w:t>
            </w:r>
            <w:r w:rsidR="00092D89">
              <w:rPr>
                <w:webHidden/>
              </w:rPr>
              <w:fldChar w:fldCharType="end"/>
            </w:r>
          </w:hyperlink>
        </w:p>
        <w:p w14:paraId="0D47A023" w14:textId="1230771C" w:rsidR="00092D89" w:rsidRDefault="00000000" w:rsidP="002C3FDA">
          <w:pPr>
            <w:pStyle w:val="TOC3"/>
            <w:rPr>
              <w:rFonts w:asciiTheme="minorHAnsi" w:eastAsiaTheme="minorEastAsia" w:hAnsiTheme="minorHAnsi" w:cstheme="minorBidi"/>
              <w:kern w:val="2"/>
              <w:lang w:eastAsia="en-GB"/>
              <w14:ligatures w14:val="standardContextual"/>
            </w:rPr>
          </w:pPr>
          <w:hyperlink w:anchor="_Toc174365511" w:history="1">
            <w:r w:rsidR="00092D89" w:rsidRPr="005F200A">
              <w:rPr>
                <w:rStyle w:val="Hyperlink"/>
              </w:rPr>
              <w:t>i.</w:t>
            </w:r>
            <w:r w:rsidR="00092D89">
              <w:rPr>
                <w:rFonts w:asciiTheme="minorHAnsi" w:eastAsiaTheme="minorEastAsia" w:hAnsiTheme="minorHAnsi" w:cstheme="minorBidi"/>
                <w:kern w:val="2"/>
                <w:lang w:eastAsia="en-GB"/>
                <w14:ligatures w14:val="standardContextual"/>
              </w:rPr>
              <w:tab/>
            </w:r>
            <w:r w:rsidR="00092D89" w:rsidRPr="005F200A">
              <w:rPr>
                <w:rStyle w:val="Hyperlink"/>
              </w:rPr>
              <w:t xml:space="preserve">Third-party debt </w:t>
            </w:r>
            <w:r w:rsidR="00092D89" w:rsidRPr="002C3FDA">
              <w:rPr>
                <w:rStyle w:val="Hyperlink"/>
                <w:color w:val="auto"/>
                <w:u w:val="none"/>
              </w:rPr>
              <w:t>orders</w:t>
            </w:r>
            <w:r w:rsidR="00092D89">
              <w:rPr>
                <w:webHidden/>
              </w:rPr>
              <w:tab/>
            </w:r>
            <w:r w:rsidR="00092D89">
              <w:rPr>
                <w:webHidden/>
              </w:rPr>
              <w:fldChar w:fldCharType="begin"/>
            </w:r>
            <w:r w:rsidR="00092D89">
              <w:rPr>
                <w:webHidden/>
              </w:rPr>
              <w:instrText xml:space="preserve"> PAGEREF _Toc174365511 \h </w:instrText>
            </w:r>
            <w:r w:rsidR="00092D89">
              <w:rPr>
                <w:webHidden/>
              </w:rPr>
            </w:r>
            <w:r w:rsidR="00092D89">
              <w:rPr>
                <w:webHidden/>
              </w:rPr>
              <w:fldChar w:fldCharType="separate"/>
            </w:r>
            <w:r w:rsidR="00092D89">
              <w:rPr>
                <w:webHidden/>
              </w:rPr>
              <w:t>11</w:t>
            </w:r>
            <w:r w:rsidR="00092D89">
              <w:rPr>
                <w:webHidden/>
              </w:rPr>
              <w:fldChar w:fldCharType="end"/>
            </w:r>
          </w:hyperlink>
        </w:p>
        <w:p w14:paraId="0FD7254D" w14:textId="6544B62F" w:rsidR="00092D89" w:rsidRDefault="00000000" w:rsidP="002C3FDA">
          <w:pPr>
            <w:pStyle w:val="TOC3"/>
            <w:rPr>
              <w:rFonts w:asciiTheme="minorHAnsi" w:eastAsiaTheme="minorEastAsia" w:hAnsiTheme="minorHAnsi" w:cstheme="minorBidi"/>
              <w:kern w:val="2"/>
              <w:lang w:eastAsia="en-GB"/>
              <w14:ligatures w14:val="standardContextual"/>
            </w:rPr>
          </w:pPr>
          <w:hyperlink w:anchor="_Toc174365512" w:history="1">
            <w:r w:rsidR="00092D89" w:rsidRPr="005F200A">
              <w:rPr>
                <w:rStyle w:val="Hyperlink"/>
              </w:rPr>
              <w:t>ii.</w:t>
            </w:r>
            <w:r w:rsidR="00092D89">
              <w:rPr>
                <w:rFonts w:asciiTheme="minorHAnsi" w:eastAsiaTheme="minorEastAsia" w:hAnsiTheme="minorHAnsi" w:cstheme="minorBidi"/>
                <w:kern w:val="2"/>
                <w:lang w:eastAsia="en-GB"/>
                <w14:ligatures w14:val="standardContextual"/>
              </w:rPr>
              <w:tab/>
            </w:r>
            <w:r w:rsidR="00092D89" w:rsidRPr="005F200A">
              <w:rPr>
                <w:rStyle w:val="Hyperlink"/>
              </w:rPr>
              <w:t>Attachment of earnings</w:t>
            </w:r>
            <w:r w:rsidR="00092D89">
              <w:rPr>
                <w:webHidden/>
              </w:rPr>
              <w:tab/>
            </w:r>
            <w:r w:rsidR="00092D89">
              <w:rPr>
                <w:webHidden/>
              </w:rPr>
              <w:fldChar w:fldCharType="begin"/>
            </w:r>
            <w:r w:rsidR="00092D89">
              <w:rPr>
                <w:webHidden/>
              </w:rPr>
              <w:instrText xml:space="preserve"> PAGEREF _Toc174365512 \h </w:instrText>
            </w:r>
            <w:r w:rsidR="00092D89">
              <w:rPr>
                <w:webHidden/>
              </w:rPr>
            </w:r>
            <w:r w:rsidR="00092D89">
              <w:rPr>
                <w:webHidden/>
              </w:rPr>
              <w:fldChar w:fldCharType="separate"/>
            </w:r>
            <w:r w:rsidR="00092D89">
              <w:rPr>
                <w:webHidden/>
              </w:rPr>
              <w:t>11</w:t>
            </w:r>
            <w:r w:rsidR="00092D89">
              <w:rPr>
                <w:webHidden/>
              </w:rPr>
              <w:fldChar w:fldCharType="end"/>
            </w:r>
          </w:hyperlink>
        </w:p>
        <w:p w14:paraId="4BBEB27E" w14:textId="41679068" w:rsidR="00092D89" w:rsidRDefault="00000000" w:rsidP="002C3FDA">
          <w:pPr>
            <w:pStyle w:val="TOC3"/>
            <w:rPr>
              <w:rFonts w:asciiTheme="minorHAnsi" w:eastAsiaTheme="minorEastAsia" w:hAnsiTheme="minorHAnsi" w:cstheme="minorBidi"/>
              <w:kern w:val="2"/>
              <w:lang w:eastAsia="en-GB"/>
              <w14:ligatures w14:val="standardContextual"/>
            </w:rPr>
          </w:pPr>
          <w:hyperlink w:anchor="_Toc174365513" w:history="1">
            <w:r w:rsidR="00092D89" w:rsidRPr="005F200A">
              <w:rPr>
                <w:rStyle w:val="Hyperlink"/>
              </w:rPr>
              <w:t>iii.</w:t>
            </w:r>
            <w:r w:rsidR="00092D89">
              <w:rPr>
                <w:rFonts w:asciiTheme="minorHAnsi" w:eastAsiaTheme="minorEastAsia" w:hAnsiTheme="minorHAnsi" w:cstheme="minorBidi"/>
                <w:kern w:val="2"/>
                <w:lang w:eastAsia="en-GB"/>
                <w14:ligatures w14:val="standardContextual"/>
              </w:rPr>
              <w:tab/>
            </w:r>
            <w:r w:rsidR="00092D89" w:rsidRPr="005F200A">
              <w:rPr>
                <w:rStyle w:val="Hyperlink"/>
              </w:rPr>
              <w:t>Charging Order</w:t>
            </w:r>
            <w:r w:rsidR="00092D89">
              <w:rPr>
                <w:webHidden/>
              </w:rPr>
              <w:tab/>
            </w:r>
            <w:r w:rsidR="00092D89">
              <w:rPr>
                <w:webHidden/>
              </w:rPr>
              <w:fldChar w:fldCharType="begin"/>
            </w:r>
            <w:r w:rsidR="00092D89">
              <w:rPr>
                <w:webHidden/>
              </w:rPr>
              <w:instrText xml:space="preserve"> PAGEREF _Toc174365513 \h </w:instrText>
            </w:r>
            <w:r w:rsidR="00092D89">
              <w:rPr>
                <w:webHidden/>
              </w:rPr>
            </w:r>
            <w:r w:rsidR="00092D89">
              <w:rPr>
                <w:webHidden/>
              </w:rPr>
              <w:fldChar w:fldCharType="separate"/>
            </w:r>
            <w:r w:rsidR="00092D89">
              <w:rPr>
                <w:webHidden/>
              </w:rPr>
              <w:t>12</w:t>
            </w:r>
            <w:r w:rsidR="00092D89">
              <w:rPr>
                <w:webHidden/>
              </w:rPr>
              <w:fldChar w:fldCharType="end"/>
            </w:r>
          </w:hyperlink>
        </w:p>
        <w:p w14:paraId="6DD27C77" w14:textId="3A9B8DA5" w:rsidR="00092D89" w:rsidRDefault="00000000" w:rsidP="002C3FDA">
          <w:pPr>
            <w:pStyle w:val="TOC2"/>
            <w:rPr>
              <w:rFonts w:asciiTheme="minorHAnsi" w:eastAsiaTheme="minorEastAsia" w:hAnsiTheme="minorHAnsi" w:cstheme="minorBidi"/>
              <w:kern w:val="2"/>
              <w:lang w:eastAsia="en-GB"/>
              <w14:ligatures w14:val="standardContextual"/>
            </w:rPr>
          </w:pPr>
          <w:hyperlink w:anchor="_Toc174365514" w:history="1">
            <w:r w:rsidR="00092D89" w:rsidRPr="005F200A">
              <w:rPr>
                <w:rStyle w:val="Hyperlink"/>
              </w:rPr>
              <w:t>6.3</w:t>
            </w:r>
            <w:r w:rsidR="00092D89">
              <w:rPr>
                <w:rFonts w:asciiTheme="minorHAnsi" w:eastAsiaTheme="minorEastAsia" w:hAnsiTheme="minorHAnsi" w:cstheme="minorBidi"/>
                <w:kern w:val="2"/>
                <w:lang w:eastAsia="en-GB"/>
                <w14:ligatures w14:val="standardContextual"/>
              </w:rPr>
              <w:tab/>
            </w:r>
            <w:r w:rsidR="00092D89" w:rsidRPr="005F200A">
              <w:rPr>
                <w:rStyle w:val="Hyperlink"/>
              </w:rPr>
              <w:t>Authorisation</w:t>
            </w:r>
            <w:r w:rsidR="00092D89">
              <w:rPr>
                <w:webHidden/>
              </w:rPr>
              <w:tab/>
            </w:r>
            <w:r w:rsidR="00092D89">
              <w:rPr>
                <w:webHidden/>
              </w:rPr>
              <w:fldChar w:fldCharType="begin"/>
            </w:r>
            <w:r w:rsidR="00092D89">
              <w:rPr>
                <w:webHidden/>
              </w:rPr>
              <w:instrText xml:space="preserve"> PAGEREF _Toc174365514 \h </w:instrText>
            </w:r>
            <w:r w:rsidR="00092D89">
              <w:rPr>
                <w:webHidden/>
              </w:rPr>
            </w:r>
            <w:r w:rsidR="00092D89">
              <w:rPr>
                <w:webHidden/>
              </w:rPr>
              <w:fldChar w:fldCharType="separate"/>
            </w:r>
            <w:r w:rsidR="00092D89">
              <w:rPr>
                <w:webHidden/>
              </w:rPr>
              <w:t>12</w:t>
            </w:r>
            <w:r w:rsidR="00092D89">
              <w:rPr>
                <w:webHidden/>
              </w:rPr>
              <w:fldChar w:fldCharType="end"/>
            </w:r>
          </w:hyperlink>
        </w:p>
        <w:p w14:paraId="3EFDC243" w14:textId="0C5442A0" w:rsidR="00092D89" w:rsidRDefault="00000000" w:rsidP="002C3FDA">
          <w:pPr>
            <w:pStyle w:val="TOC1"/>
            <w:rPr>
              <w:rFonts w:asciiTheme="minorHAnsi" w:eastAsiaTheme="minorEastAsia" w:hAnsiTheme="minorHAnsi" w:cstheme="minorBidi"/>
              <w:kern w:val="2"/>
              <w:lang w:eastAsia="en-GB"/>
              <w14:ligatures w14:val="standardContextual"/>
            </w:rPr>
          </w:pPr>
          <w:hyperlink w:anchor="_Toc174365515" w:history="1">
            <w:r w:rsidR="00092D89" w:rsidRPr="005F200A">
              <w:rPr>
                <w:rStyle w:val="Hyperlink"/>
              </w:rPr>
              <w:t>7.</w:t>
            </w:r>
            <w:r w:rsidR="00092D89">
              <w:rPr>
                <w:rFonts w:asciiTheme="minorHAnsi" w:eastAsiaTheme="minorEastAsia" w:hAnsiTheme="minorHAnsi" w:cstheme="minorBidi"/>
                <w:kern w:val="2"/>
                <w:lang w:eastAsia="en-GB"/>
                <w14:ligatures w14:val="standardContextual"/>
              </w:rPr>
              <w:tab/>
            </w:r>
            <w:r w:rsidR="00092D89" w:rsidRPr="005F200A">
              <w:rPr>
                <w:rStyle w:val="Hyperlink"/>
              </w:rPr>
              <w:t>Write offs</w:t>
            </w:r>
            <w:r w:rsidR="00092D89">
              <w:rPr>
                <w:webHidden/>
              </w:rPr>
              <w:tab/>
            </w:r>
            <w:r w:rsidR="00092D89">
              <w:rPr>
                <w:webHidden/>
              </w:rPr>
              <w:fldChar w:fldCharType="begin"/>
            </w:r>
            <w:r w:rsidR="00092D89">
              <w:rPr>
                <w:webHidden/>
              </w:rPr>
              <w:instrText xml:space="preserve"> PAGEREF _Toc174365515 \h </w:instrText>
            </w:r>
            <w:r w:rsidR="00092D89">
              <w:rPr>
                <w:webHidden/>
              </w:rPr>
            </w:r>
            <w:r w:rsidR="00092D89">
              <w:rPr>
                <w:webHidden/>
              </w:rPr>
              <w:fldChar w:fldCharType="separate"/>
            </w:r>
            <w:r w:rsidR="00092D89">
              <w:rPr>
                <w:webHidden/>
              </w:rPr>
              <w:t>12</w:t>
            </w:r>
            <w:r w:rsidR="00092D89">
              <w:rPr>
                <w:webHidden/>
              </w:rPr>
              <w:fldChar w:fldCharType="end"/>
            </w:r>
          </w:hyperlink>
        </w:p>
        <w:p w14:paraId="281266DF" w14:textId="0D3C88C8" w:rsidR="00092D89" w:rsidRDefault="00000000" w:rsidP="002C3FDA">
          <w:pPr>
            <w:pStyle w:val="TOC2"/>
            <w:rPr>
              <w:rFonts w:asciiTheme="minorHAnsi" w:eastAsiaTheme="minorEastAsia" w:hAnsiTheme="minorHAnsi" w:cstheme="minorBidi"/>
              <w:kern w:val="2"/>
              <w:lang w:eastAsia="en-GB"/>
              <w14:ligatures w14:val="standardContextual"/>
            </w:rPr>
          </w:pPr>
          <w:hyperlink w:anchor="_Toc174365516" w:history="1">
            <w:r w:rsidR="00092D89" w:rsidRPr="005F200A">
              <w:rPr>
                <w:rStyle w:val="Hyperlink"/>
              </w:rPr>
              <w:t>7.1</w:t>
            </w:r>
            <w:r w:rsidR="00092D89">
              <w:rPr>
                <w:rFonts w:asciiTheme="minorHAnsi" w:eastAsiaTheme="minorEastAsia" w:hAnsiTheme="minorHAnsi" w:cstheme="minorBidi"/>
                <w:kern w:val="2"/>
                <w:lang w:eastAsia="en-GB"/>
                <w14:ligatures w14:val="standardContextual"/>
              </w:rPr>
              <w:tab/>
            </w:r>
            <w:r w:rsidR="00092D89" w:rsidRPr="005F200A">
              <w:rPr>
                <w:rStyle w:val="Hyperlink"/>
              </w:rPr>
              <w:t xml:space="preserve">Process for Authorisation (Cases </w:t>
            </w:r>
            <w:r w:rsidR="00092D89" w:rsidRPr="002C3FDA">
              <w:rPr>
                <w:rStyle w:val="Hyperlink"/>
                <w:color w:val="auto"/>
                <w:u w:val="none"/>
              </w:rPr>
              <w:t>under</w:t>
            </w:r>
            <w:r w:rsidR="00092D89" w:rsidRPr="005F200A">
              <w:rPr>
                <w:rStyle w:val="Hyperlink"/>
              </w:rPr>
              <w:t xml:space="preserve"> £2,500)</w:t>
            </w:r>
            <w:r w:rsidR="00092D89">
              <w:rPr>
                <w:webHidden/>
              </w:rPr>
              <w:tab/>
            </w:r>
            <w:r w:rsidR="00092D89">
              <w:rPr>
                <w:webHidden/>
              </w:rPr>
              <w:fldChar w:fldCharType="begin"/>
            </w:r>
            <w:r w:rsidR="00092D89">
              <w:rPr>
                <w:webHidden/>
              </w:rPr>
              <w:instrText xml:space="preserve"> PAGEREF _Toc174365516 \h </w:instrText>
            </w:r>
            <w:r w:rsidR="00092D89">
              <w:rPr>
                <w:webHidden/>
              </w:rPr>
            </w:r>
            <w:r w:rsidR="00092D89">
              <w:rPr>
                <w:webHidden/>
              </w:rPr>
              <w:fldChar w:fldCharType="separate"/>
            </w:r>
            <w:r w:rsidR="00092D89">
              <w:rPr>
                <w:webHidden/>
              </w:rPr>
              <w:t>12</w:t>
            </w:r>
            <w:r w:rsidR="00092D89">
              <w:rPr>
                <w:webHidden/>
              </w:rPr>
              <w:fldChar w:fldCharType="end"/>
            </w:r>
          </w:hyperlink>
        </w:p>
        <w:p w14:paraId="65014D61" w14:textId="3B6E0A74" w:rsidR="00092D89" w:rsidRDefault="00000000" w:rsidP="002C3FDA">
          <w:pPr>
            <w:pStyle w:val="TOC2"/>
            <w:rPr>
              <w:rFonts w:asciiTheme="minorHAnsi" w:eastAsiaTheme="minorEastAsia" w:hAnsiTheme="minorHAnsi" w:cstheme="minorBidi"/>
              <w:kern w:val="2"/>
              <w:lang w:eastAsia="en-GB"/>
              <w14:ligatures w14:val="standardContextual"/>
            </w:rPr>
          </w:pPr>
          <w:hyperlink w:anchor="_Toc174365517" w:history="1">
            <w:r w:rsidR="00092D89" w:rsidRPr="005F200A">
              <w:rPr>
                <w:rStyle w:val="Hyperlink"/>
              </w:rPr>
              <w:t>7.2</w:t>
            </w:r>
            <w:r w:rsidR="00092D89">
              <w:rPr>
                <w:rFonts w:asciiTheme="minorHAnsi" w:eastAsiaTheme="minorEastAsia" w:hAnsiTheme="minorHAnsi" w:cstheme="minorBidi"/>
                <w:kern w:val="2"/>
                <w:lang w:eastAsia="en-GB"/>
                <w14:ligatures w14:val="standardContextual"/>
              </w:rPr>
              <w:tab/>
            </w:r>
            <w:r w:rsidR="00092D89" w:rsidRPr="005F200A">
              <w:rPr>
                <w:rStyle w:val="Hyperlink"/>
              </w:rPr>
              <w:t>Process for Authorisation (Cases between £2,500 and £5,000)</w:t>
            </w:r>
            <w:r w:rsidR="00092D89">
              <w:rPr>
                <w:webHidden/>
              </w:rPr>
              <w:tab/>
            </w:r>
            <w:r w:rsidR="00092D89">
              <w:rPr>
                <w:webHidden/>
              </w:rPr>
              <w:fldChar w:fldCharType="begin"/>
            </w:r>
            <w:r w:rsidR="00092D89">
              <w:rPr>
                <w:webHidden/>
              </w:rPr>
              <w:instrText xml:space="preserve"> PAGEREF _Toc174365517 \h </w:instrText>
            </w:r>
            <w:r w:rsidR="00092D89">
              <w:rPr>
                <w:webHidden/>
              </w:rPr>
            </w:r>
            <w:r w:rsidR="00092D89">
              <w:rPr>
                <w:webHidden/>
              </w:rPr>
              <w:fldChar w:fldCharType="separate"/>
            </w:r>
            <w:r w:rsidR="00092D89">
              <w:rPr>
                <w:webHidden/>
              </w:rPr>
              <w:t>13</w:t>
            </w:r>
            <w:r w:rsidR="00092D89">
              <w:rPr>
                <w:webHidden/>
              </w:rPr>
              <w:fldChar w:fldCharType="end"/>
            </w:r>
          </w:hyperlink>
        </w:p>
        <w:p w14:paraId="7E02704E" w14:textId="3FDC6147" w:rsidR="00092D89" w:rsidRDefault="00000000" w:rsidP="002C3FDA">
          <w:pPr>
            <w:pStyle w:val="TOC2"/>
            <w:rPr>
              <w:rFonts w:asciiTheme="minorHAnsi" w:eastAsiaTheme="minorEastAsia" w:hAnsiTheme="minorHAnsi" w:cstheme="minorBidi"/>
              <w:kern w:val="2"/>
              <w:lang w:eastAsia="en-GB"/>
              <w14:ligatures w14:val="standardContextual"/>
            </w:rPr>
          </w:pPr>
          <w:hyperlink w:anchor="_Toc174365518" w:history="1">
            <w:r w:rsidR="00092D89" w:rsidRPr="005F200A">
              <w:rPr>
                <w:rStyle w:val="Hyperlink"/>
              </w:rPr>
              <w:t>7.3</w:t>
            </w:r>
            <w:r w:rsidR="00092D89">
              <w:rPr>
                <w:rFonts w:asciiTheme="minorHAnsi" w:eastAsiaTheme="minorEastAsia" w:hAnsiTheme="minorHAnsi" w:cstheme="minorBidi"/>
                <w:kern w:val="2"/>
                <w:lang w:eastAsia="en-GB"/>
                <w14:ligatures w14:val="standardContextual"/>
              </w:rPr>
              <w:tab/>
            </w:r>
            <w:r w:rsidR="00092D89" w:rsidRPr="005F200A">
              <w:rPr>
                <w:rStyle w:val="Hyperlink"/>
              </w:rPr>
              <w:t>Process for Authorisation (Cases over £5,000)</w:t>
            </w:r>
            <w:r w:rsidR="00092D89">
              <w:rPr>
                <w:webHidden/>
              </w:rPr>
              <w:tab/>
            </w:r>
            <w:r w:rsidR="00092D89">
              <w:rPr>
                <w:webHidden/>
              </w:rPr>
              <w:fldChar w:fldCharType="begin"/>
            </w:r>
            <w:r w:rsidR="00092D89">
              <w:rPr>
                <w:webHidden/>
              </w:rPr>
              <w:instrText xml:space="preserve"> PAGEREF _Toc174365518 \h </w:instrText>
            </w:r>
            <w:r w:rsidR="00092D89">
              <w:rPr>
                <w:webHidden/>
              </w:rPr>
            </w:r>
            <w:r w:rsidR="00092D89">
              <w:rPr>
                <w:webHidden/>
              </w:rPr>
              <w:fldChar w:fldCharType="separate"/>
            </w:r>
            <w:r w:rsidR="00092D89">
              <w:rPr>
                <w:webHidden/>
              </w:rPr>
              <w:t>13</w:t>
            </w:r>
            <w:r w:rsidR="00092D89">
              <w:rPr>
                <w:webHidden/>
              </w:rPr>
              <w:fldChar w:fldCharType="end"/>
            </w:r>
          </w:hyperlink>
        </w:p>
        <w:p w14:paraId="3E9B5A05" w14:textId="543CBBAB" w:rsidR="00092D89" w:rsidRDefault="00000000" w:rsidP="002C3FDA">
          <w:pPr>
            <w:pStyle w:val="TOC1"/>
            <w:rPr>
              <w:rFonts w:asciiTheme="minorHAnsi" w:eastAsiaTheme="minorEastAsia" w:hAnsiTheme="minorHAnsi" w:cstheme="minorBidi"/>
              <w:kern w:val="2"/>
              <w:lang w:eastAsia="en-GB"/>
              <w14:ligatures w14:val="standardContextual"/>
            </w:rPr>
          </w:pPr>
          <w:hyperlink w:anchor="_Toc174365519" w:history="1">
            <w:r w:rsidR="00092D89" w:rsidRPr="005F200A">
              <w:rPr>
                <w:rStyle w:val="Hyperlink"/>
              </w:rPr>
              <w:t>8.</w:t>
            </w:r>
            <w:r w:rsidR="00092D89">
              <w:rPr>
                <w:rFonts w:asciiTheme="minorHAnsi" w:eastAsiaTheme="minorEastAsia" w:hAnsiTheme="minorHAnsi" w:cstheme="minorBidi"/>
                <w:kern w:val="2"/>
                <w:lang w:eastAsia="en-GB"/>
                <w14:ligatures w14:val="standardContextual"/>
              </w:rPr>
              <w:tab/>
            </w:r>
            <w:r w:rsidR="00092D89" w:rsidRPr="005F200A">
              <w:rPr>
                <w:rStyle w:val="Hyperlink"/>
              </w:rPr>
              <w:t xml:space="preserve">Debt </w:t>
            </w:r>
            <w:r w:rsidR="00092D89" w:rsidRPr="002C3FDA">
              <w:rPr>
                <w:rStyle w:val="Hyperlink"/>
                <w:color w:val="auto"/>
                <w:u w:val="none"/>
              </w:rPr>
              <w:t>Recovery</w:t>
            </w:r>
            <w:r w:rsidR="00092D89" w:rsidRPr="005F200A">
              <w:rPr>
                <w:rStyle w:val="Hyperlink"/>
              </w:rPr>
              <w:t xml:space="preserve"> Process</w:t>
            </w:r>
            <w:r w:rsidR="00092D89">
              <w:rPr>
                <w:webHidden/>
              </w:rPr>
              <w:tab/>
            </w:r>
            <w:r w:rsidR="00092D89">
              <w:rPr>
                <w:webHidden/>
              </w:rPr>
              <w:fldChar w:fldCharType="begin"/>
            </w:r>
            <w:r w:rsidR="00092D89">
              <w:rPr>
                <w:webHidden/>
              </w:rPr>
              <w:instrText xml:space="preserve"> PAGEREF _Toc174365519 \h </w:instrText>
            </w:r>
            <w:r w:rsidR="00092D89">
              <w:rPr>
                <w:webHidden/>
              </w:rPr>
            </w:r>
            <w:r w:rsidR="00092D89">
              <w:rPr>
                <w:webHidden/>
              </w:rPr>
              <w:fldChar w:fldCharType="separate"/>
            </w:r>
            <w:r w:rsidR="00092D89">
              <w:rPr>
                <w:webHidden/>
              </w:rPr>
              <w:t>14</w:t>
            </w:r>
            <w:r w:rsidR="00092D89">
              <w:rPr>
                <w:webHidden/>
              </w:rPr>
              <w:fldChar w:fldCharType="end"/>
            </w:r>
          </w:hyperlink>
        </w:p>
        <w:p w14:paraId="48AAB73C" w14:textId="68D94B0E" w:rsidR="00847AD2" w:rsidRPr="006115F8" w:rsidRDefault="00092D89" w:rsidP="00C651BF">
          <w:pPr>
            <w:pStyle w:val="SmallSpacing"/>
          </w:pPr>
          <w:r>
            <w:rPr>
              <w:noProof/>
            </w:rPr>
            <w:fldChar w:fldCharType="end"/>
          </w:r>
        </w:p>
      </w:sdtContent>
    </w:sdt>
    <w:p w14:paraId="31CB7016" w14:textId="15BBB133" w:rsidR="00C616C7" w:rsidRPr="00396E46" w:rsidRDefault="00C616C7" w:rsidP="00396E46">
      <w:pPr>
        <w:pStyle w:val="Heading1"/>
      </w:pPr>
      <w:bookmarkStart w:id="0" w:name="_Toc174365489"/>
      <w:r w:rsidRPr="00396E46">
        <w:lastRenderedPageBreak/>
        <w:t xml:space="preserve">Purpose of the </w:t>
      </w:r>
      <w:r w:rsidR="005D4DE9" w:rsidRPr="00396E46">
        <w:t>Policy</w:t>
      </w:r>
      <w:bookmarkEnd w:id="0"/>
    </w:p>
    <w:p w14:paraId="2B48ABF0" w14:textId="5B46191C" w:rsidR="005D4DE9" w:rsidRPr="005D4DE9" w:rsidRDefault="005D4DE9" w:rsidP="00AE6656">
      <w:r w:rsidRPr="005D4DE9">
        <w:t xml:space="preserve">This policy covers the collection of adult social care debt and describes the approach that the council will take in carrying out its function. The intention of the council in agreeing this policy is to achieve the prompt </w:t>
      </w:r>
      <w:r w:rsidRPr="00AE6656">
        <w:t>collection</w:t>
      </w:r>
      <w:r w:rsidRPr="005D4DE9">
        <w:t xml:space="preserve"> of all sums of money it is due, while ensuring that a fair, proportionate and consistent approach is taken to the recovery of sums that are not paid when due.</w:t>
      </w:r>
    </w:p>
    <w:p w14:paraId="712B9913" w14:textId="22513E43" w:rsidR="005D4DE9" w:rsidRPr="005D4DE9" w:rsidRDefault="005D4DE9" w:rsidP="00AE6656">
      <w:r w:rsidRPr="005D4DE9">
        <w:t>The Audit Commission’s report on “Charging for Care” states that income collected from charges can be used to protect services, extend access, and promote the independence and wellbeing of clients.</w:t>
      </w:r>
    </w:p>
    <w:p w14:paraId="7C4A12C7" w14:textId="39B3D426" w:rsidR="005D4DE9" w:rsidRPr="005D4DE9" w:rsidRDefault="005D4DE9" w:rsidP="00AE6656">
      <w:r w:rsidRPr="005D4DE9">
        <w:t xml:space="preserve">The council is committed to using the most effective recovery methods available. </w:t>
      </w:r>
    </w:p>
    <w:p w14:paraId="0591C53D" w14:textId="5E256F03" w:rsidR="005D4DE9" w:rsidRPr="005D4DE9" w:rsidRDefault="005D4DE9" w:rsidP="00AE6656">
      <w:r w:rsidRPr="005D4DE9">
        <w:t>This policy will ensure that recovery action is consistent and complies with legislation and best practice.</w:t>
      </w:r>
    </w:p>
    <w:p w14:paraId="1CAE2B27" w14:textId="44486C28" w:rsidR="00C616C7" w:rsidRDefault="005D4DE9" w:rsidP="00AE6656">
      <w:r w:rsidRPr="005D4DE9">
        <w:t xml:space="preserve">The </w:t>
      </w:r>
      <w:r w:rsidRPr="00056B7B">
        <w:t>intention is that the policy will remain in place until the underlying legislation changes. However, the policy will also be reviewed whenever there is a change to procedures, regulations, or costs to ensure it remains valid, effective</w:t>
      </w:r>
      <w:r w:rsidRPr="005D4DE9">
        <w:t>, and relevant</w:t>
      </w:r>
    </w:p>
    <w:p w14:paraId="0943E4EF" w14:textId="77777777" w:rsidR="005D4DE9" w:rsidRPr="00396E46" w:rsidRDefault="005D4DE9" w:rsidP="00396E46">
      <w:pPr>
        <w:pStyle w:val="Heading1"/>
      </w:pPr>
      <w:bookmarkStart w:id="1" w:name="_Toc174365490"/>
      <w:r w:rsidRPr="00396E46">
        <w:t>Legal and Policy Framework</w:t>
      </w:r>
      <w:bookmarkEnd w:id="1"/>
    </w:p>
    <w:p w14:paraId="42976389" w14:textId="1CDDEFC4" w:rsidR="005D4DE9" w:rsidRPr="0047233B" w:rsidRDefault="005D4DE9" w:rsidP="00396E46">
      <w:pPr>
        <w:pStyle w:val="Heading2"/>
      </w:pPr>
      <w:bookmarkStart w:id="2" w:name="_Toc174365491"/>
      <w:r w:rsidRPr="0047233B">
        <w:t>The Care Act 2014</w:t>
      </w:r>
      <w:bookmarkEnd w:id="2"/>
    </w:p>
    <w:p w14:paraId="021A9DA0" w14:textId="77777777" w:rsidR="0047233B" w:rsidRPr="0047233B" w:rsidRDefault="0047233B" w:rsidP="00AE6656">
      <w:r w:rsidRPr="0047233B">
        <w:t>The Care Act 2014 places a duty on the council to arrange care and support for people assessed as having eligible needs. The council also has a power to meet certain non-eligible needs.</w:t>
      </w:r>
    </w:p>
    <w:p w14:paraId="521DC091" w14:textId="77777777" w:rsidR="0047233B" w:rsidRPr="0047233B" w:rsidRDefault="0047233B" w:rsidP="00AE6656">
      <w:r w:rsidRPr="0047233B">
        <w:t>Capital limits, specified in regulations issued under the Care Act 2014, set the levels of capital (excluding any capital that has been disregarded) that a person can have whilst qualifying for financial support from the council.</w:t>
      </w:r>
    </w:p>
    <w:p w14:paraId="5A71526B" w14:textId="77777777" w:rsidR="0047233B" w:rsidRPr="0047233B" w:rsidRDefault="0047233B" w:rsidP="00AE6656">
      <w:r w:rsidRPr="0047233B">
        <w:t xml:space="preserve">A person with assets above the upper capital limit is responsible for the full cost of their care in a care home. A person with assets between the capital limits will pay what they can afford from their income, </w:t>
      </w:r>
      <w:r w:rsidRPr="00056B7B">
        <w:t>plus a means-tested contribution from their assets (calculated as £1 per week for every £250 of capital between the capital limits). A person with assets below the lower capital limit will pay only what they can afford f</w:t>
      </w:r>
      <w:r w:rsidRPr="0047233B">
        <w:t>rom their income.</w:t>
      </w:r>
    </w:p>
    <w:p w14:paraId="4873B840" w14:textId="77777777" w:rsidR="0047233B" w:rsidRPr="0047233B" w:rsidRDefault="0047233B" w:rsidP="00AE6656">
      <w:r w:rsidRPr="0047233B">
        <w:t xml:space="preserve">The council will apply the nationally set capital limits for the purposes of Financial Assessment. </w:t>
      </w:r>
    </w:p>
    <w:p w14:paraId="1A703FE0" w14:textId="77777777" w:rsidR="0047233B" w:rsidRDefault="0047233B" w:rsidP="00AE6656">
      <w:r w:rsidRPr="0047233B">
        <w:t>The council will take all capital assets into account except those specifically disregarded under the regulations.</w:t>
      </w:r>
    </w:p>
    <w:p w14:paraId="18C68EA8" w14:textId="31A3EEEB" w:rsidR="001F5FDB" w:rsidRPr="001F5FDB" w:rsidRDefault="001F5FDB" w:rsidP="00AE6656">
      <w:r w:rsidRPr="001F5FDB">
        <w:lastRenderedPageBreak/>
        <w:t>Sections 14 and 17 of the Care Act 2014 provide a legal framework for charging for care and support for Local Authority funded residential and non-residential care. These sections, along with the Care and Support Statutory Guidance, provide a single legal framework for charging for adult social care. The Care Act states that the council has discretion to choose whether or not to charge under section 14 of the Care Act following a service user’s or carer’s care and support needs assessment. The council may charge except where it is required to arrange care and support free of charge. Where the council decides to charge, it must follow the Care and Support (Charging and Assessment of Resources) Regulations and have regard to the Care and Support Statutory Guidance issued under the Care Act 2014. The council may only charge up to the costs they incur when contracting for care.</w:t>
      </w:r>
    </w:p>
    <w:p w14:paraId="138DAE86" w14:textId="4AAA5284" w:rsidR="001F5FDB" w:rsidRPr="001F5FDB" w:rsidRDefault="001F5FDB" w:rsidP="00AE6656">
      <w:r w:rsidRPr="001F5FDB">
        <w:t>The Care Act 2014 also</w:t>
      </w:r>
      <w:r>
        <w:t xml:space="preserve"> </w:t>
      </w:r>
      <w:r w:rsidRPr="001F5FDB">
        <w:t>provides a framework for the recovery of debts as a result of non-payment of care charges. Section 69 of the Care Act provides a power to the council to recover debts owed to it. This power provides protection to both the local authority and the individual as it gives the individual the opportunity to seek alternative means for payment. Section 70 of the Care Act also provides the council with the power to recover charges from a third party where a person has transferred assets to them in order to avoid paying charges for care and support.</w:t>
      </w:r>
    </w:p>
    <w:p w14:paraId="3D6CFE02" w14:textId="4E334910" w:rsidR="001F5FDB" w:rsidRPr="001F5FDB" w:rsidRDefault="001F5FDB" w:rsidP="00AE6656">
      <w:r w:rsidRPr="001F5FDB">
        <w:t xml:space="preserve">The way in which any outstanding charges are recoverable is covered by the Pre-action Protocol for Debt Claims under the Civil Procedure Rules (see: </w:t>
      </w:r>
      <w:hyperlink r:id="rId11" w:anchor="1.1" w:history="1">
        <w:r>
          <w:rPr>
            <w:rStyle w:val="Hyperlink"/>
          </w:rPr>
          <w:t>Practice Direction – Pre-Action Conduct</w:t>
        </w:r>
      </w:hyperlink>
      <w:r>
        <w:t xml:space="preserve"> g</w:t>
      </w:r>
      <w:r w:rsidRPr="001F5FDB">
        <w:t>uidance published by the Ministry of Justice). Charges should be recovered as a civil debt through the County Court, assuming all other avenues for payment have been explored with the individual first.</w:t>
      </w:r>
    </w:p>
    <w:p w14:paraId="5E1F1E48" w14:textId="4219DC9F" w:rsidR="001F5FDB" w:rsidRPr="001F5FDB" w:rsidRDefault="001F5FDB" w:rsidP="00396E46">
      <w:pPr>
        <w:pStyle w:val="Heading2"/>
      </w:pPr>
      <w:bookmarkStart w:id="3" w:name="_Toc174365492"/>
      <w:r w:rsidRPr="001F5FDB">
        <w:t>Adult and Social Care Policy</w:t>
      </w:r>
      <w:bookmarkEnd w:id="3"/>
    </w:p>
    <w:p w14:paraId="71CDE993" w14:textId="3CF9934C" w:rsidR="001F5FDB" w:rsidRPr="001F5FDB" w:rsidRDefault="001F5FDB" w:rsidP="00AE6656">
      <w:r w:rsidRPr="001F5FDB">
        <w:t>In accordance with the Care Act 2014, certain types of service will be provided free of charge. However, the council will charge for the following services as below:</w:t>
      </w:r>
    </w:p>
    <w:p w14:paraId="5E8D5F97" w14:textId="5BF81E75" w:rsidR="001F5FDB" w:rsidRPr="001F5FDB" w:rsidRDefault="001F5FDB" w:rsidP="00AE6656">
      <w:r w:rsidRPr="001F5FDB">
        <w:t>Care provided in residential or nursing homes including:</w:t>
      </w:r>
    </w:p>
    <w:p w14:paraId="70991957" w14:textId="77777777" w:rsidR="001F5FDB" w:rsidRPr="001F5FDB" w:rsidRDefault="001F5FDB" w:rsidP="00396E46">
      <w:pPr>
        <w:pStyle w:val="ListParagraph"/>
      </w:pPr>
      <w:r w:rsidRPr="001F5FDB">
        <w:t>Respite care</w:t>
      </w:r>
    </w:p>
    <w:p w14:paraId="3C6E179D" w14:textId="77777777" w:rsidR="001F5FDB" w:rsidRPr="001F5FDB" w:rsidRDefault="001F5FDB" w:rsidP="00396E46">
      <w:pPr>
        <w:pStyle w:val="ListParagraph"/>
      </w:pPr>
      <w:r w:rsidRPr="001F5FDB">
        <w:t>24-hour care in a registered care/nursing home</w:t>
      </w:r>
    </w:p>
    <w:p w14:paraId="4215BAC5" w14:textId="648A8824" w:rsidR="001F5FDB" w:rsidRPr="001F5FDB" w:rsidRDefault="001F5FDB" w:rsidP="00396E46">
      <w:pPr>
        <w:pStyle w:val="ListParagraph"/>
      </w:pPr>
      <w:r w:rsidRPr="001F5FDB">
        <w:t>First and third-party top-up fees for the above services</w:t>
      </w:r>
    </w:p>
    <w:p w14:paraId="74FC4B78" w14:textId="09A10EE2" w:rsidR="001F5FDB" w:rsidRPr="001F5FDB" w:rsidRDefault="001F5FDB" w:rsidP="00AE6656">
      <w:r w:rsidRPr="001F5FDB">
        <w:t>Care provided in a non-residential care setting including (but not limited to):</w:t>
      </w:r>
    </w:p>
    <w:p w14:paraId="0DE83EFF" w14:textId="77777777" w:rsidR="001F5FDB" w:rsidRDefault="001F5FDB" w:rsidP="00396E46">
      <w:pPr>
        <w:pStyle w:val="ListParagraph"/>
      </w:pPr>
      <w:r>
        <w:t>Home care services</w:t>
      </w:r>
    </w:p>
    <w:p w14:paraId="21C56E9E" w14:textId="77777777" w:rsidR="001F5FDB" w:rsidRDefault="001F5FDB" w:rsidP="00396E46">
      <w:pPr>
        <w:pStyle w:val="ListParagraph"/>
      </w:pPr>
      <w:r>
        <w:t>Day Care</w:t>
      </w:r>
    </w:p>
    <w:p w14:paraId="2E315CCC" w14:textId="77777777" w:rsidR="001F5FDB" w:rsidRDefault="001F5FDB" w:rsidP="00396E46">
      <w:pPr>
        <w:pStyle w:val="ListParagraph"/>
      </w:pPr>
      <w:r>
        <w:t>Supported Living</w:t>
      </w:r>
    </w:p>
    <w:p w14:paraId="36C1B6D5" w14:textId="77777777" w:rsidR="001F5FDB" w:rsidRPr="00C03361" w:rsidRDefault="001F5FDB" w:rsidP="00396E46">
      <w:pPr>
        <w:pStyle w:val="ListParagraph"/>
        <w:rPr>
          <w:color w:val="000000" w:themeColor="text1"/>
        </w:rPr>
      </w:pPr>
      <w:r>
        <w:t>Respite care</w:t>
      </w:r>
    </w:p>
    <w:p w14:paraId="408FD01D" w14:textId="77777777" w:rsidR="001F5FDB" w:rsidRPr="00C03361" w:rsidRDefault="001F5FDB" w:rsidP="00396E46">
      <w:pPr>
        <w:pStyle w:val="ListParagraph"/>
      </w:pPr>
      <w:r w:rsidRPr="00C03361">
        <w:lastRenderedPageBreak/>
        <w:t>Adult Shared Lives Placements</w:t>
      </w:r>
    </w:p>
    <w:p w14:paraId="682FADFE" w14:textId="77777777" w:rsidR="001F5FDB" w:rsidRPr="00C03361" w:rsidRDefault="001F5FDB" w:rsidP="00396E46">
      <w:pPr>
        <w:pStyle w:val="ListParagraph"/>
      </w:pPr>
      <w:r w:rsidRPr="00C03361">
        <w:t>Transport</w:t>
      </w:r>
    </w:p>
    <w:p w14:paraId="20A487FE" w14:textId="43A02251" w:rsidR="001F5FDB" w:rsidRPr="001F5FDB" w:rsidRDefault="001F5FDB" w:rsidP="00396E46">
      <w:pPr>
        <w:pStyle w:val="ListParagraph"/>
      </w:pPr>
      <w:r w:rsidRPr="00396E46">
        <w:t>Direct</w:t>
      </w:r>
      <w:r w:rsidRPr="00FD3274">
        <w:t xml:space="preserve"> Payments</w:t>
      </w:r>
    </w:p>
    <w:p w14:paraId="65594608" w14:textId="77777777" w:rsidR="00396E46" w:rsidRDefault="001F5FDB" w:rsidP="00396E46">
      <w:r w:rsidRPr="00056B7B">
        <w:t>Where charges are appropriate, the council will charge up to the full cost of the service it provides and will not charge more than the cost it incurs. Individuals will only be asked to pay what they can afford towards their care cost, subject to financial assessment.</w:t>
      </w:r>
      <w:bookmarkStart w:id="4" w:name="_Toc174365493"/>
    </w:p>
    <w:p w14:paraId="6FB4FDE8" w14:textId="24D6F3F2" w:rsidR="001F5FDB" w:rsidRPr="006A0561" w:rsidRDefault="001F5FDB" w:rsidP="00396E46">
      <w:r w:rsidRPr="00F25711">
        <w:t>The Equality Act</w:t>
      </w:r>
      <w:r w:rsidRPr="006A0561">
        <w:t xml:space="preserve"> 2010</w:t>
      </w:r>
      <w:bookmarkEnd w:id="4"/>
    </w:p>
    <w:p w14:paraId="0D7DAC10" w14:textId="77777777" w:rsidR="001F5FDB" w:rsidRPr="00056B7B" w:rsidRDefault="001F5FDB" w:rsidP="00AE6656">
      <w:r w:rsidRPr="00056B7B">
        <w:t>The council has a statutory equality duty to eliminate unlawful discrimination, advance equality of opportunity and foster good relations, pursuant to section 149(1) of the Equality Act 2010.</w:t>
      </w:r>
    </w:p>
    <w:p w14:paraId="293EA22D" w14:textId="77777777" w:rsidR="001F5FDB" w:rsidRPr="00056B7B" w:rsidRDefault="001F5FDB" w:rsidP="00AE6656">
      <w:r w:rsidRPr="00056B7B">
        <w:t>Anti-discriminatory practice is fundamental to the ethical basis of care provision and critical to the protection of people's dignity. The Equality Act 2010 protects those receiving care and the workers that provide it from being treated unfairly because of any characteristics that are protected under the legislation.</w:t>
      </w:r>
    </w:p>
    <w:p w14:paraId="62E0734F" w14:textId="77777777" w:rsidR="001F5FDB" w:rsidRDefault="001F5FDB" w:rsidP="00AE6656">
      <w:r w:rsidRPr="00056B7B">
        <w:t xml:space="preserve">Acting in accordance with this policy will help to ensure that the collection of debts due is conducted in a consistent and objective manner that will reduce the risk of inadvertent discrimination against persons with protected characteristics. </w:t>
      </w:r>
    </w:p>
    <w:p w14:paraId="571AC8AC" w14:textId="77777777" w:rsidR="00056B7B" w:rsidRPr="0009285F" w:rsidRDefault="00056B7B" w:rsidP="00396E46">
      <w:pPr>
        <w:pStyle w:val="Heading2"/>
      </w:pPr>
      <w:bookmarkStart w:id="5" w:name="_Toc174365494"/>
      <w:r w:rsidRPr="0009285F">
        <w:t>Mental Capacity Act 2005</w:t>
      </w:r>
      <w:bookmarkEnd w:id="5"/>
      <w:r w:rsidRPr="0009285F">
        <w:t xml:space="preserve"> </w:t>
      </w:r>
    </w:p>
    <w:p w14:paraId="693D29DB" w14:textId="5E45E263" w:rsidR="00C41975" w:rsidRDefault="00056B7B" w:rsidP="00AE6656">
      <w:r w:rsidRPr="0009285F">
        <w:t>Under section 1(2) of the Mental Capacity Act 2005, all clients will be</w:t>
      </w:r>
      <w:r>
        <w:t xml:space="preserve"> </w:t>
      </w:r>
      <w:r w:rsidRPr="0009285F">
        <w:t>assumed to have capacity and able to make relevant decisions for themselves unless it has been established by assessment that they lack capacity. In addition, under section 1(3), all practical steps ought to</w:t>
      </w:r>
      <w:r>
        <w:t xml:space="preserve"> </w:t>
      </w:r>
      <w:r w:rsidRPr="0009285F">
        <w:t>be taken to ensure that a client is supported to make their own decisions. If a client is assessed as lacking capacity in relation to decisions regarding their property and financial affairs, it is important that their representative is involved in those decisions.</w:t>
      </w:r>
    </w:p>
    <w:p w14:paraId="6A7B9BA2" w14:textId="225C48C2" w:rsidR="00C41975" w:rsidRDefault="00C41975" w:rsidP="00396E46">
      <w:pPr>
        <w:pStyle w:val="Heading2"/>
      </w:pPr>
      <w:bookmarkStart w:id="6" w:name="_Toc174365495"/>
      <w:r>
        <w:t>Retention Policy</w:t>
      </w:r>
      <w:bookmarkEnd w:id="6"/>
    </w:p>
    <w:p w14:paraId="1E137A3B" w14:textId="03246E8A" w:rsidR="00C41975" w:rsidRDefault="00C41975" w:rsidP="00AE6656">
      <w:r w:rsidRPr="002850F7">
        <w:t xml:space="preserve">All documentation that supports the client’s contribution will be retained for at least 6 years in case the client or their representative defends any legal recovery action. </w:t>
      </w:r>
    </w:p>
    <w:p w14:paraId="2D901221" w14:textId="06D8F4A5" w:rsidR="00C41975" w:rsidRDefault="00C41975" w:rsidP="00396E46">
      <w:pPr>
        <w:pStyle w:val="Heading1"/>
      </w:pPr>
      <w:bookmarkStart w:id="7" w:name="_Toc174365496"/>
      <w:r w:rsidRPr="00172363">
        <w:t>Financial Assessments</w:t>
      </w:r>
      <w:bookmarkEnd w:id="7"/>
    </w:p>
    <w:p w14:paraId="3DA3AA5A" w14:textId="3BD9BEE7" w:rsidR="00C41975" w:rsidRDefault="00C41975" w:rsidP="00AE6656">
      <w:r>
        <w:t>A financial assessment is undertaken to determine how much</w:t>
      </w:r>
      <w:r w:rsidRPr="003451CB">
        <w:t xml:space="preserve">, if anything, the </w:t>
      </w:r>
      <w:r>
        <w:t>client is required to contribute towards the cost of their care and residential services.</w:t>
      </w:r>
      <w:r w:rsidR="00B83869">
        <w:br w:type="page"/>
      </w:r>
    </w:p>
    <w:p w14:paraId="6A95516B" w14:textId="581E6B87" w:rsidR="00C41975" w:rsidRPr="00DE25DC" w:rsidRDefault="00C41975" w:rsidP="00396E46">
      <w:pPr>
        <w:pStyle w:val="Heading2"/>
      </w:pPr>
      <w:bookmarkStart w:id="8" w:name="_Toc174365497"/>
      <w:r w:rsidRPr="00DE25DC">
        <w:lastRenderedPageBreak/>
        <w:t>Assessing the client’s ability to pay</w:t>
      </w:r>
      <w:bookmarkEnd w:id="8"/>
    </w:p>
    <w:p w14:paraId="1CAE4317" w14:textId="6A028507" w:rsidR="00C41975" w:rsidRDefault="00C41975" w:rsidP="00AE6656">
      <w:r>
        <w:t>The council should clearly discuss with the service user or their representative at the outset that care and support is a chargeable service and provide information to explain this.</w:t>
      </w:r>
    </w:p>
    <w:p w14:paraId="7EE30845" w14:textId="665BA64A" w:rsidR="00C41975" w:rsidRDefault="00C41975" w:rsidP="00AE6656">
      <w:r>
        <w:t>A financial assessment should be completed, and the service user/representative notified in writing of the outcome of the assessment, including how charges will be invoiced, the frequency of bills and payment methods.</w:t>
      </w:r>
    </w:p>
    <w:p w14:paraId="209EF50E" w14:textId="257D956F" w:rsidR="00C41975" w:rsidRDefault="00C41975" w:rsidP="00AE6656">
      <w:r w:rsidRPr="00B931A2">
        <w:t>As part of the assessment process the council should find out if the service user has someone to help with their finances or, if they lack mental capacity,</w:t>
      </w:r>
      <w:r>
        <w:t xml:space="preserve"> </w:t>
      </w:r>
      <w:r w:rsidRPr="00B931A2">
        <w:t xml:space="preserve">whether there is a Power of Attorney or Court of Protection deputyship order in place for property and financial affairs. As well as supporting the service user, this is for the purpose of identifying the correct person to send invoices to for payment of care charges. </w:t>
      </w:r>
      <w:r w:rsidRPr="00B931A2">
        <w:rPr>
          <w:color w:val="0B0C0C"/>
          <w:shd w:val="clear" w:color="auto" w:fill="FFFFFF"/>
        </w:rPr>
        <w:t>Where the person lacking capacity has no Power of Attorney or deputy order in place and has substantial debts, then an application for a deputyship order will be required. The application needs to be made to the Court of Protection.</w:t>
      </w:r>
    </w:p>
    <w:p w14:paraId="0D2BD7AE" w14:textId="0E7F977E" w:rsidR="00C41975" w:rsidRDefault="00C41975" w:rsidP="00396E46">
      <w:pPr>
        <w:pStyle w:val="Heading2"/>
      </w:pPr>
      <w:bookmarkStart w:id="9" w:name="_Toc174365498"/>
      <w:r>
        <w:t>Deferred Payments Agreement Scheme</w:t>
      </w:r>
      <w:bookmarkEnd w:id="9"/>
    </w:p>
    <w:p w14:paraId="7AFC377F" w14:textId="77777777" w:rsidR="00C41975" w:rsidRDefault="00C41975" w:rsidP="00AE6656">
      <w:pPr>
        <w:rPr>
          <w:bCs/>
        </w:rPr>
      </w:pPr>
      <w:r w:rsidRPr="00641667">
        <w:t>Under sections 34 to 36 of the Care Act 2014, the council has a duty to offer a Deferred Payment Agreement (DPA), to prevent people from being forced to sell their home in their lifetime to pay for care costs</w:t>
      </w:r>
      <w:r w:rsidRPr="00B5397E">
        <w:rPr>
          <w:bCs/>
        </w:rPr>
        <w:t>.</w:t>
      </w:r>
      <w:r w:rsidRPr="00641667">
        <w:rPr>
          <w:bCs/>
        </w:rPr>
        <w:t xml:space="preserve"> For service users in residential care, who own a property but </w:t>
      </w:r>
      <w:r>
        <w:rPr>
          <w:bCs/>
        </w:rPr>
        <w:t xml:space="preserve">currently </w:t>
      </w:r>
      <w:r w:rsidRPr="00641667">
        <w:rPr>
          <w:bCs/>
        </w:rPr>
        <w:t>have capital below £23,250, the council must</w:t>
      </w:r>
      <w:r w:rsidRPr="00B5397E">
        <w:rPr>
          <w:bCs/>
        </w:rPr>
        <w:t xml:space="preserve"> consider offering a DPA provided certain conditions are met:</w:t>
      </w:r>
    </w:p>
    <w:p w14:paraId="65FDED86" w14:textId="621BE03B" w:rsidR="00C41975" w:rsidRPr="00641667" w:rsidRDefault="00C41975" w:rsidP="00396E46">
      <w:pPr>
        <w:pStyle w:val="ListParagraph"/>
      </w:pPr>
      <w:r w:rsidRPr="00641667">
        <w:t xml:space="preserve">Anyone whose needs are to be met by the provision of care in a care home (as defined in the Care and Support (Deferred Payments) Regulations 2014 </w:t>
      </w:r>
    </w:p>
    <w:p w14:paraId="598E1A2D" w14:textId="5DEE8AAB" w:rsidR="00C41975" w:rsidRPr="00641667" w:rsidRDefault="00C41975" w:rsidP="00396E46">
      <w:pPr>
        <w:pStyle w:val="ListParagraph"/>
      </w:pPr>
      <w:r w:rsidRPr="00641667">
        <w:t xml:space="preserve">Anyone who has less than (or equal to) £23,250 in assets excluding the value of their home </w:t>
      </w:r>
    </w:p>
    <w:p w14:paraId="3B8F0AC9" w14:textId="04BD6AF6" w:rsidR="00C41975" w:rsidRDefault="00C41975" w:rsidP="00396E46">
      <w:pPr>
        <w:pStyle w:val="ListParagraph"/>
      </w:pPr>
      <w:r w:rsidRPr="439A45BB">
        <w:rPr>
          <w:lang w:val="en-US"/>
        </w:rPr>
        <w:t>Anyone who has not had their home disregarded from the financial assessment carried out under Section 17 of the Care Act.</w:t>
      </w:r>
    </w:p>
    <w:p w14:paraId="2FAC4BB0" w14:textId="53E4EFD3" w:rsidR="00C41975" w:rsidRDefault="00C41975" w:rsidP="00AE6656">
      <w:r>
        <w:t xml:space="preserve">Under this scheme, the council will require a signed legal agreement allowing a legal charge to be registered against the </w:t>
      </w:r>
      <w:r w:rsidRPr="00641667">
        <w:t>property (provided that there is sufficient equity in the property to underwrite the loan)</w:t>
      </w:r>
      <w:r>
        <w:t xml:space="preserve">. </w:t>
      </w:r>
      <w:r w:rsidRPr="00641667">
        <w:t>This</w:t>
      </w:r>
      <w:r>
        <w:t xml:space="preserve"> will allow the part of the assessed charge relating to the value of the property to be deferred until the property is sold. Once the agreement is signed, a charge will be placed on the person’s property which will show on future land searches.</w:t>
      </w:r>
    </w:p>
    <w:p w14:paraId="603E8AB5" w14:textId="53BBB95B" w:rsidR="00C41975" w:rsidRDefault="00C41975" w:rsidP="00AE6656">
      <w:r>
        <w:t xml:space="preserve">When the property is to be sold, the council will expect the service user (or their representative) to confirm all outstanding care fees will be paid from the proceeds of the property sale before any charge on the property can be removed. </w:t>
      </w:r>
    </w:p>
    <w:p w14:paraId="5A5C2495" w14:textId="709C5D82" w:rsidR="00C41975" w:rsidRPr="00D51629" w:rsidRDefault="00C41975" w:rsidP="00396E46">
      <w:pPr>
        <w:pStyle w:val="Heading2"/>
      </w:pPr>
      <w:bookmarkStart w:id="10" w:name="_Toc174365499"/>
      <w:r w:rsidRPr="00D51629">
        <w:lastRenderedPageBreak/>
        <w:t>Top Up fees</w:t>
      </w:r>
      <w:bookmarkEnd w:id="10"/>
    </w:p>
    <w:p w14:paraId="07EF121A" w14:textId="0EFCAEA3" w:rsidR="00C41975" w:rsidRPr="008152FE" w:rsidRDefault="00C41975" w:rsidP="00AE6656">
      <w:r w:rsidRPr="00D51629">
        <w:t>Top-up payments must be made where a c</w:t>
      </w:r>
      <w:r>
        <w:t>lient</w:t>
      </w:r>
      <w:r w:rsidRPr="00D51629">
        <w:t xml:space="preserve"> chooses more expensive residential or nursing care than the council is offering</w:t>
      </w:r>
      <w:r>
        <w:t xml:space="preserve"> as part of their assessed eligible needs</w:t>
      </w:r>
      <w:r w:rsidRPr="00D51629">
        <w:t xml:space="preserve">. </w:t>
      </w:r>
    </w:p>
    <w:p w14:paraId="79961DE6" w14:textId="4744FC2C" w:rsidR="00C41975" w:rsidRPr="00C21E54" w:rsidRDefault="00C41975" w:rsidP="00AE6656">
      <w:pPr>
        <w:pStyle w:val="Heading3"/>
      </w:pPr>
      <w:bookmarkStart w:id="11" w:name="_Toc174365500"/>
      <w:r w:rsidRPr="002A1438">
        <w:t>Third</w:t>
      </w:r>
      <w:r w:rsidRPr="00C21E54">
        <w:t>-party top-up fees</w:t>
      </w:r>
      <w:bookmarkEnd w:id="11"/>
    </w:p>
    <w:p w14:paraId="72247D92" w14:textId="4C5E74EC" w:rsidR="00C41975" w:rsidRDefault="00C41975" w:rsidP="00AE6656">
      <w:r>
        <w:t>If a client chooses residential care provision that is more expensive than the rate set by the council, a third-party such as family or charity can pay the difference in the amount.</w:t>
      </w:r>
    </w:p>
    <w:p w14:paraId="71A1D1AF" w14:textId="662B05B5" w:rsidR="00C41975" w:rsidRDefault="00C41975" w:rsidP="00AE6656">
      <w:r w:rsidRPr="00FB2B78">
        <w:t>Clients are not allowed to pay this top-up fee</w:t>
      </w:r>
      <w:r w:rsidRPr="00EA671C">
        <w:t>.</w:t>
      </w:r>
      <w:r>
        <w:t xml:space="preserve"> The third-party enters into a legal agreement with the council. This states that they are responsible for paying this fee and that any debts can be recovered from them by way of legal action. As part of this process, the council will seek assurance that the third party has the means to make and sustain the payments (for the duration of the service user’s stay in the care home) and that they are fully aware of their responsibilities and the potential consequence of non-payment.</w:t>
      </w:r>
    </w:p>
    <w:p w14:paraId="693A720A" w14:textId="24F2CF31" w:rsidR="00C41975" w:rsidRDefault="00C41975" w:rsidP="00AE6656">
      <w:r>
        <w:t>If there are arrears on a third-party account, the council may choose to terminate the third-party agreement and reassess the accommodation with a view to moving the client to a less expensive placement, if suitable.</w:t>
      </w:r>
    </w:p>
    <w:p w14:paraId="6492DF60" w14:textId="1A7356D5" w:rsidR="00C41975" w:rsidRDefault="00C41975" w:rsidP="00AE6656">
      <w:r>
        <w:t>Third-party agreements will be reviewed every year as part of the annual care review process.</w:t>
      </w:r>
    </w:p>
    <w:p w14:paraId="7190585D" w14:textId="1F90459D" w:rsidR="00C41975" w:rsidRDefault="00C41975" w:rsidP="00AE6656">
      <w:pPr>
        <w:pStyle w:val="Heading3"/>
      </w:pPr>
      <w:bookmarkStart w:id="12" w:name="_Toc174365501"/>
      <w:r>
        <w:t xml:space="preserve">First-party </w:t>
      </w:r>
      <w:r w:rsidRPr="00DF6EB7">
        <w:t>top</w:t>
      </w:r>
      <w:r>
        <w:t>-up fees</w:t>
      </w:r>
      <w:bookmarkEnd w:id="12"/>
    </w:p>
    <w:p w14:paraId="579A3D08" w14:textId="3409AEE7" w:rsidR="00C41975" w:rsidRPr="00F65DCD" w:rsidRDefault="00C41975" w:rsidP="00AE6656">
      <w:r w:rsidRPr="00EA671C">
        <w:t>Where a service user chooses residential care provision that is more expensive than the rate set by the council, and they have entered into a DPA</w:t>
      </w:r>
      <w:r>
        <w:t xml:space="preserve"> (‘deferred payment agreement’)</w:t>
      </w:r>
      <w:r w:rsidRPr="00EA671C">
        <w:t xml:space="preserve"> they can enter into a First-Party top-up agreement from the 13</w:t>
      </w:r>
      <w:r w:rsidRPr="00EA671C">
        <w:rPr>
          <w:vertAlign w:val="superscript"/>
        </w:rPr>
        <w:t>th</w:t>
      </w:r>
      <w:r w:rsidRPr="00EA671C">
        <w:t xml:space="preserve"> week of residential care.</w:t>
      </w:r>
    </w:p>
    <w:p w14:paraId="30E0BE88" w14:textId="78F6261D" w:rsidR="00C41975" w:rsidRDefault="00C41975" w:rsidP="00AE6656">
      <w:r w:rsidRPr="00767910">
        <w:t>This allows them to defer the top-up from the 13th week of care and</w:t>
      </w:r>
      <w:r w:rsidRPr="00A82485">
        <w:t xml:space="preserve"> which </w:t>
      </w:r>
      <w:r w:rsidRPr="004F6020">
        <w:t>can only be deferred up</w:t>
      </w:r>
      <w:r>
        <w:t xml:space="preserve"> the time that</w:t>
      </w:r>
      <w:r w:rsidRPr="004F6020">
        <w:t xml:space="preserve">  </w:t>
      </w:r>
      <w:r w:rsidRPr="00A23927">
        <w:t>their</w:t>
      </w:r>
      <w:r w:rsidRPr="00D00507">
        <w:t xml:space="preserve"> equity limit </w:t>
      </w:r>
      <w:r>
        <w:t xml:space="preserve">is </w:t>
      </w:r>
      <w:r w:rsidRPr="00D00507">
        <w:t>reached</w:t>
      </w:r>
      <w:r w:rsidRPr="001435B3">
        <w:t>.</w:t>
      </w:r>
    </w:p>
    <w:p w14:paraId="7C28C6AF" w14:textId="73B6DD84" w:rsidR="00A44EC1" w:rsidRPr="00A44EC1" w:rsidRDefault="00C41975" w:rsidP="00AE6656">
      <w:pPr>
        <w:rPr>
          <w:bCs/>
        </w:rPr>
      </w:pPr>
      <w:r w:rsidRPr="00EA671C">
        <w:rPr>
          <w:bCs/>
        </w:rPr>
        <w:t>Where a service user has care provided under Section117 of the Mental Health Act 1983</w:t>
      </w:r>
      <w:r>
        <w:rPr>
          <w:bCs/>
        </w:rPr>
        <w:t>,</w:t>
      </w:r>
      <w:r w:rsidRPr="00EA671C">
        <w:rPr>
          <w:bCs/>
        </w:rPr>
        <w:t xml:space="preserve"> </w:t>
      </w:r>
      <w:r w:rsidRPr="00EA671C">
        <w:t>only care and support services directly related to the reason for the section 117 aftercare will be provided free of charge. Where an individual chooses to pay for more residential or nursing care,</w:t>
      </w:r>
      <w:r>
        <w:t xml:space="preserve"> </w:t>
      </w:r>
      <w:r w:rsidRPr="00EA671C">
        <w:rPr>
          <w:bCs/>
        </w:rPr>
        <w:t>they can enter into a First-Party top-up agreement from the first day of residential care.</w:t>
      </w:r>
    </w:p>
    <w:p w14:paraId="435B31F8" w14:textId="496A1155" w:rsidR="00A44EC1" w:rsidRPr="00176025" w:rsidRDefault="00A44EC1" w:rsidP="00396E46">
      <w:pPr>
        <w:pStyle w:val="Heading1"/>
      </w:pPr>
      <w:bookmarkStart w:id="13" w:name="_Toc174365502"/>
      <w:r w:rsidRPr="00176025">
        <w:t>Principles for Debt Recovery</w:t>
      </w:r>
      <w:bookmarkEnd w:id="13"/>
    </w:p>
    <w:p w14:paraId="1C98BD74" w14:textId="77777777" w:rsidR="00A44EC1" w:rsidRPr="005D049D" w:rsidRDefault="00A44EC1" w:rsidP="00AE6656">
      <w:pPr>
        <w:rPr>
          <w:strike/>
          <w:shd w:val="clear" w:color="auto" w:fill="FFFFFF"/>
        </w:rPr>
      </w:pPr>
      <w:r w:rsidRPr="0075712C">
        <w:rPr>
          <w:shd w:val="clear" w:color="auto" w:fill="FFFFFF"/>
        </w:rPr>
        <w:t>Where</w:t>
      </w:r>
      <w:r>
        <w:rPr>
          <w:shd w:val="clear" w:color="auto" w:fill="FFFFFF"/>
        </w:rPr>
        <w:t xml:space="preserve"> a debt arises, and where</w:t>
      </w:r>
      <w:r w:rsidRPr="0075712C">
        <w:rPr>
          <w:shd w:val="clear" w:color="auto" w:fill="FFFFFF"/>
        </w:rPr>
        <w:t xml:space="preserve"> all other reasonable avenues for recovery</w:t>
      </w:r>
      <w:r>
        <w:rPr>
          <w:shd w:val="clear" w:color="auto" w:fill="FFFFFF"/>
        </w:rPr>
        <w:t xml:space="preserve"> </w:t>
      </w:r>
      <w:r w:rsidRPr="0075712C">
        <w:rPr>
          <w:shd w:val="clear" w:color="auto" w:fill="FFFFFF"/>
        </w:rPr>
        <w:t xml:space="preserve">have first been exhausted, the council may wish to proceed to the county court in order to recover </w:t>
      </w:r>
      <w:r>
        <w:rPr>
          <w:shd w:val="clear" w:color="auto" w:fill="FFFFFF"/>
        </w:rPr>
        <w:t>the</w:t>
      </w:r>
      <w:r w:rsidRPr="0075712C">
        <w:rPr>
          <w:shd w:val="clear" w:color="auto" w:fill="FFFFFF"/>
        </w:rPr>
        <w:t xml:space="preserve"> debt owed. Firstly, the individual </w:t>
      </w:r>
      <w:r>
        <w:rPr>
          <w:shd w:val="clear" w:color="auto" w:fill="FFFFFF"/>
        </w:rPr>
        <w:t>or their legal representative , where applicable, is</w:t>
      </w:r>
      <w:r w:rsidRPr="0075712C">
        <w:rPr>
          <w:shd w:val="clear" w:color="auto" w:fill="FFFFFF"/>
        </w:rPr>
        <w:t xml:space="preserve"> be given an </w:t>
      </w:r>
      <w:r w:rsidRPr="0075712C">
        <w:rPr>
          <w:shd w:val="clear" w:color="auto" w:fill="FFFFFF"/>
        </w:rPr>
        <w:lastRenderedPageBreak/>
        <w:t xml:space="preserve">opportunity to engage in mediation or other suitable alternative dispute resolution with the council to discuss payment of the debt prior to proceedings being commenced. </w:t>
      </w:r>
    </w:p>
    <w:p w14:paraId="2AA8D41F" w14:textId="77777777" w:rsidR="00A44EC1" w:rsidRPr="003C7882" w:rsidRDefault="00A44EC1" w:rsidP="00AE6656">
      <w:pPr>
        <w:rPr>
          <w:shd w:val="clear" w:color="auto" w:fill="FFFFFF"/>
        </w:rPr>
      </w:pPr>
      <w:r w:rsidRPr="003C7882">
        <w:rPr>
          <w:shd w:val="clear" w:color="auto" w:fill="FFFFFF"/>
        </w:rPr>
        <w:t xml:space="preserve">The recovery of debts from those who are receiving care and support is a sensitive issue given the potentially vulnerable nature of the client </w:t>
      </w:r>
      <w:r>
        <w:rPr>
          <w:shd w:val="clear" w:color="auto" w:fill="FFFFFF"/>
        </w:rPr>
        <w:t>-</w:t>
      </w:r>
      <w:r w:rsidRPr="003C7882">
        <w:rPr>
          <w:shd w:val="clear" w:color="auto" w:fill="FFFFFF"/>
        </w:rPr>
        <w:t xml:space="preserve"> and the council’s ultimate responsibility to meet </w:t>
      </w:r>
      <w:r>
        <w:rPr>
          <w:shd w:val="clear" w:color="auto" w:fill="FFFFFF"/>
        </w:rPr>
        <w:t xml:space="preserve">their </w:t>
      </w:r>
      <w:r w:rsidRPr="003C7882">
        <w:rPr>
          <w:shd w:val="clear" w:color="auto" w:fill="FFFFFF"/>
        </w:rPr>
        <w:t xml:space="preserve">needs under the Care Act 2014. It must be remembered that there could be a variety of reasons why the </w:t>
      </w:r>
      <w:r>
        <w:rPr>
          <w:shd w:val="clear" w:color="auto" w:fill="FFFFFF"/>
        </w:rPr>
        <w:t>client</w:t>
      </w:r>
      <w:r w:rsidRPr="003C7882">
        <w:rPr>
          <w:shd w:val="clear" w:color="auto" w:fill="FFFFFF"/>
        </w:rPr>
        <w:t xml:space="preserve"> has not paid the</w:t>
      </w:r>
      <w:r>
        <w:rPr>
          <w:shd w:val="clear" w:color="auto" w:fill="FFFFFF"/>
        </w:rPr>
        <w:t>ir</w:t>
      </w:r>
      <w:r w:rsidRPr="003C7882">
        <w:rPr>
          <w:shd w:val="clear" w:color="auto" w:fill="FFFFFF"/>
        </w:rPr>
        <w:t xml:space="preserve"> assessed charge and the council should always consider whether it is appropriate to take steps to recover the debt, even though it has the power to do so. </w:t>
      </w:r>
      <w:r w:rsidRPr="00A945CF">
        <w:rPr>
          <w:shd w:val="clear" w:color="auto" w:fill="FFFFFF"/>
        </w:rPr>
        <w:t xml:space="preserve">It may be that </w:t>
      </w:r>
      <w:r w:rsidRPr="003C7882">
        <w:rPr>
          <w:shd w:val="clear" w:color="auto" w:fill="FFFFFF"/>
        </w:rPr>
        <w:t>in some cases a debt may have accrued as a result of</w:t>
      </w:r>
      <w:r>
        <w:rPr>
          <w:shd w:val="clear" w:color="auto" w:fill="FFFFFF"/>
        </w:rPr>
        <w:t xml:space="preserve"> a service user’s</w:t>
      </w:r>
      <w:r w:rsidRPr="003C7882">
        <w:rPr>
          <w:shd w:val="clear" w:color="auto" w:fill="FFFFFF"/>
        </w:rPr>
        <w:t xml:space="preserve"> diminishing or lack of mental capacity. In such cases, the </w:t>
      </w:r>
      <w:r>
        <w:rPr>
          <w:shd w:val="clear" w:color="auto" w:fill="FFFFFF"/>
        </w:rPr>
        <w:t>council</w:t>
      </w:r>
      <w:r w:rsidRPr="003C7882">
        <w:rPr>
          <w:shd w:val="clear" w:color="auto" w:fill="FFFFFF"/>
        </w:rPr>
        <w:t xml:space="preserve"> may need to involve the safeguarding team</w:t>
      </w:r>
      <w:r>
        <w:rPr>
          <w:shd w:val="clear" w:color="auto" w:fill="FFFFFF"/>
        </w:rPr>
        <w:t xml:space="preserve"> and/or await legal authority if the Council has been advised that a deputyship application is in progress</w:t>
      </w:r>
    </w:p>
    <w:p w14:paraId="57DF938C" w14:textId="7FA493E1" w:rsidR="00A44EC1" w:rsidRPr="00A44EC1" w:rsidRDefault="00A44EC1" w:rsidP="00AE6656">
      <w:pPr>
        <w:rPr>
          <w:rFonts w:eastAsia="Times New Roman"/>
          <w:lang w:eastAsia="en-GB"/>
        </w:rPr>
      </w:pPr>
      <w:r w:rsidRPr="003C7882">
        <w:rPr>
          <w:shd w:val="clear" w:color="auto" w:fill="FFFFFF"/>
        </w:rPr>
        <w:t xml:space="preserve">The council should also bear in mind that they are bound by the public law principle of acting reasonably at all times and must act in accordance with human rights legislation, as well as the wellbeing principle set out in section 1 of the Care Act 2014. Therefore, it is important that </w:t>
      </w:r>
      <w:r w:rsidRPr="003C7882">
        <w:rPr>
          <w:rFonts w:eastAsia="Times New Roman"/>
          <w:lang w:eastAsia="en-GB"/>
        </w:rPr>
        <w:t xml:space="preserve">court proceedings are only considered after all other reasonable avenues to obtain payment of the debt have been exhausted. </w:t>
      </w:r>
    </w:p>
    <w:p w14:paraId="372C4EE2" w14:textId="77777777" w:rsidR="00A44EC1" w:rsidRPr="0009285F" w:rsidRDefault="00A44EC1" w:rsidP="00AE6656">
      <w:pPr>
        <w:rPr>
          <w:shd w:val="clear" w:color="auto" w:fill="FFFFFF"/>
        </w:rPr>
      </w:pPr>
      <w:r w:rsidRPr="003C7882">
        <w:rPr>
          <w:rFonts w:eastAsia="Times New Roman"/>
          <w:lang w:eastAsia="en-GB"/>
        </w:rPr>
        <w:t>I</w:t>
      </w:r>
      <w:r w:rsidRPr="003C7882">
        <w:rPr>
          <w:shd w:val="clear" w:color="auto" w:fill="FFFFFF"/>
        </w:rPr>
        <w:t>f a claim does end up in court, it is likely that the</w:t>
      </w:r>
      <w:r>
        <w:rPr>
          <w:shd w:val="clear" w:color="auto" w:fill="FFFFFF"/>
        </w:rPr>
        <w:t xml:space="preserve"> court</w:t>
      </w:r>
      <w:r w:rsidRPr="0009285F">
        <w:rPr>
          <w:shd w:val="clear" w:color="auto" w:fill="FFFFFF"/>
        </w:rPr>
        <w:t xml:space="preserve"> will consider what efforts were made to resolve </w:t>
      </w:r>
      <w:r>
        <w:rPr>
          <w:shd w:val="clear" w:color="auto" w:fill="FFFFFF"/>
        </w:rPr>
        <w:t xml:space="preserve">the debt issue </w:t>
      </w:r>
      <w:r w:rsidRPr="0009285F">
        <w:rPr>
          <w:shd w:val="clear" w:color="auto" w:fill="FFFFFF"/>
        </w:rPr>
        <w:t>without the need for proceedings.</w:t>
      </w:r>
    </w:p>
    <w:p w14:paraId="39DAF298" w14:textId="77777777" w:rsidR="00A44EC1" w:rsidRDefault="00A44EC1" w:rsidP="00AE6656">
      <w:r>
        <w:t>Officers will need to bear in mind the following principles when approaching the recovery of debts, especially when dealing with vulnerable clients and their representatives:</w:t>
      </w:r>
    </w:p>
    <w:p w14:paraId="1F99776E" w14:textId="77777777" w:rsidR="00A44EC1" w:rsidRDefault="00A44EC1" w:rsidP="00AE6656"/>
    <w:p w14:paraId="5D877201" w14:textId="77777777" w:rsidR="00A44EC1" w:rsidRPr="00741020" w:rsidRDefault="00A44EC1" w:rsidP="00396E46">
      <w:pPr>
        <w:pStyle w:val="ListParagraph"/>
      </w:pPr>
      <w:r w:rsidRPr="439A45BB">
        <w:rPr>
          <w:lang w:val="en-US"/>
        </w:rPr>
        <w:t xml:space="preserve">Effective initial communication with service users around chargeable services. </w:t>
      </w:r>
    </w:p>
    <w:p w14:paraId="302D6F4C" w14:textId="77777777" w:rsidR="00A44EC1" w:rsidRPr="00741020" w:rsidRDefault="00A44EC1" w:rsidP="00396E46">
      <w:pPr>
        <w:pStyle w:val="ListParagraph"/>
      </w:pPr>
      <w:r w:rsidRPr="439A45BB">
        <w:rPr>
          <w:lang w:val="en-US"/>
        </w:rPr>
        <w:t>Effective and efficient collection of all money due, whilst ensuring that the client’s financial circumstances and mental capacity are considered.</w:t>
      </w:r>
    </w:p>
    <w:p w14:paraId="5A1395C4" w14:textId="77777777" w:rsidR="00A44EC1" w:rsidRPr="00741020" w:rsidRDefault="00A44EC1" w:rsidP="00396E46">
      <w:pPr>
        <w:pStyle w:val="ListParagraph"/>
      </w:pPr>
      <w:r w:rsidRPr="00741020">
        <w:t>Prevention of arrears by prompt billing and collection of money due, affordable repayment plans and early intervention.</w:t>
      </w:r>
    </w:p>
    <w:p w14:paraId="3C657445" w14:textId="77777777" w:rsidR="00A44EC1" w:rsidRPr="00741020" w:rsidRDefault="00A44EC1" w:rsidP="00396E46">
      <w:pPr>
        <w:pStyle w:val="ListParagraph"/>
      </w:pPr>
      <w:r w:rsidRPr="00741020">
        <w:t>Debts must be discussed with the client or their representative.</w:t>
      </w:r>
    </w:p>
    <w:p w14:paraId="1B2A3C68" w14:textId="77777777" w:rsidR="00A44EC1" w:rsidRPr="00741020" w:rsidRDefault="00A44EC1" w:rsidP="00396E46">
      <w:pPr>
        <w:pStyle w:val="ListParagraph"/>
      </w:pPr>
      <w:r w:rsidRPr="00741020">
        <w:t>The council must act reasonably.</w:t>
      </w:r>
    </w:p>
    <w:p w14:paraId="3E5C243E" w14:textId="77777777" w:rsidR="00A44EC1" w:rsidRPr="00741020" w:rsidRDefault="00A44EC1" w:rsidP="00396E46">
      <w:pPr>
        <w:pStyle w:val="ListParagraph"/>
      </w:pPr>
      <w:r w:rsidRPr="00741020">
        <w:t>Repayment plans should be agreed between the relevant parties and must be affordable.</w:t>
      </w:r>
    </w:p>
    <w:p w14:paraId="1513B1D4" w14:textId="61A91131" w:rsidR="00A44EC1" w:rsidRPr="00741020" w:rsidRDefault="00A44EC1" w:rsidP="00396E46">
      <w:pPr>
        <w:pStyle w:val="ListParagraph"/>
      </w:pPr>
      <w:r w:rsidRPr="439A45BB">
        <w:rPr>
          <w:lang w:val="en-US"/>
        </w:rPr>
        <w:t>The council will consider how different approaches could impact on a client’s wellbeing.</w:t>
      </w:r>
    </w:p>
    <w:p w14:paraId="380D9563" w14:textId="5676F7BA" w:rsidR="00A44EC1" w:rsidRDefault="00A44EC1" w:rsidP="00AE6656">
      <w:r w:rsidRPr="00C37ADD">
        <w:t>Legal advice may be sought should issues arise in respect of payment from the deceased’s estate.</w:t>
      </w:r>
    </w:p>
    <w:p w14:paraId="550F2EA6" w14:textId="092CBC99" w:rsidR="00A44EC1" w:rsidRPr="00D05C30" w:rsidRDefault="00A44EC1" w:rsidP="00396E46">
      <w:pPr>
        <w:pStyle w:val="Heading1"/>
      </w:pPr>
      <w:bookmarkStart w:id="14" w:name="_Toc174365503"/>
      <w:r w:rsidRPr="00D05C30">
        <w:lastRenderedPageBreak/>
        <w:t xml:space="preserve">Debt </w:t>
      </w:r>
      <w:r w:rsidRPr="00C97ACF">
        <w:t>Recovery</w:t>
      </w:r>
      <w:r w:rsidRPr="00D05C30">
        <w:t xml:space="preserve"> Process</w:t>
      </w:r>
      <w:bookmarkEnd w:id="14"/>
      <w:r>
        <w:t xml:space="preserve"> </w:t>
      </w:r>
    </w:p>
    <w:p w14:paraId="427D688A" w14:textId="77777777" w:rsidR="00A44EC1" w:rsidRPr="003574B2" w:rsidRDefault="00A44EC1" w:rsidP="00AE6656">
      <w:r>
        <w:t>I</w:t>
      </w:r>
      <w:r w:rsidRPr="003574B2">
        <w:t xml:space="preserve">t is important that the individual or their legal representative are </w:t>
      </w:r>
      <w:r>
        <w:t>approached to</w:t>
      </w:r>
      <w:r w:rsidRPr="003574B2">
        <w:t xml:space="preserve"> engage fully with the Council and comply with any information requests</w:t>
      </w:r>
      <w:r>
        <w:t xml:space="preserve">. Where possible, they should </w:t>
      </w:r>
      <w:r w:rsidRPr="003574B2">
        <w:t>ensure that the Council is made aware of the potential timescales, if there are likely to be any delays in payment.</w:t>
      </w:r>
    </w:p>
    <w:p w14:paraId="51CB7F16" w14:textId="3179CD8A" w:rsidR="00A44EC1" w:rsidRPr="00170A48" w:rsidRDefault="00A44EC1" w:rsidP="00AE6656">
      <w:r w:rsidRPr="00170A48">
        <w:t xml:space="preserve">As part of the debt recovery process, clients </w:t>
      </w:r>
      <w:r>
        <w:t>- should be</w:t>
      </w:r>
      <w:r w:rsidRPr="00170A48">
        <w:t xml:space="preserve"> encouraged to discuss the reasons for non-payment of debts and their individual circumstances with the council in order that a repayment plan can be agreed. Failure to pay charges by deadlines will result in debt reminder letters being sent to the client. Failure to pay by the deadline will result in possible enforcement action, as below. </w:t>
      </w:r>
    </w:p>
    <w:p w14:paraId="06D752CD" w14:textId="76D11A83" w:rsidR="00A44EC1" w:rsidRDefault="00A44EC1" w:rsidP="00396E46">
      <w:pPr>
        <w:pStyle w:val="Heading2"/>
      </w:pPr>
      <w:bookmarkStart w:id="15" w:name="_Toc174365504"/>
      <w:r w:rsidRPr="00C97ACF">
        <w:t>Overdue</w:t>
      </w:r>
      <w:r w:rsidRPr="00170A48">
        <w:t xml:space="preserve"> invoice reminder</w:t>
      </w:r>
      <w:bookmarkEnd w:id="15"/>
      <w:r>
        <w:t xml:space="preserve"> </w:t>
      </w:r>
    </w:p>
    <w:p w14:paraId="70220091" w14:textId="0FA9A2F2" w:rsidR="00A44EC1" w:rsidRDefault="00A44EC1" w:rsidP="00AE6656">
      <w:r>
        <w:t xml:space="preserve">An overdue invoice will be issued after 15 days where a client does not pay the charges detailed in their invoice. </w:t>
      </w:r>
    </w:p>
    <w:p w14:paraId="637CBABA" w14:textId="75E2BD67" w:rsidR="00A44EC1" w:rsidRPr="008D5E06" w:rsidRDefault="00C97ACF" w:rsidP="00396E46">
      <w:pPr>
        <w:pStyle w:val="Heading2"/>
      </w:pPr>
      <w:bookmarkStart w:id="16" w:name="_Toc174365505"/>
      <w:r>
        <w:t xml:space="preserve">First </w:t>
      </w:r>
      <w:r w:rsidR="00AF3CA2">
        <w:t>Re</w:t>
      </w:r>
      <w:r w:rsidR="00A963B3">
        <w:t>minder</w:t>
      </w:r>
      <w:bookmarkEnd w:id="16"/>
    </w:p>
    <w:p w14:paraId="7F10709F" w14:textId="7C83599A" w:rsidR="00A44EC1" w:rsidRDefault="00A44EC1" w:rsidP="00AE6656">
      <w:r w:rsidRPr="008D5E06">
        <w:t>Th</w:t>
      </w:r>
      <w:r>
        <w:t>is</w:t>
      </w:r>
      <w:r w:rsidRPr="008D5E06">
        <w:t xml:space="preserve"> </w:t>
      </w:r>
      <w:r>
        <w:t>is</w:t>
      </w:r>
      <w:r w:rsidRPr="008D5E06">
        <w:t xml:space="preserve"> issued </w:t>
      </w:r>
      <w:r>
        <w:t xml:space="preserve">29 days after the invoice issued date </w:t>
      </w:r>
      <w:r w:rsidRPr="008D5E06">
        <w:t>where c</w:t>
      </w:r>
      <w:r>
        <w:t>lients</w:t>
      </w:r>
      <w:r w:rsidRPr="008D5E06">
        <w:t xml:space="preserve"> </w:t>
      </w:r>
      <w:r>
        <w:t xml:space="preserve">still haven’t paid the amount due or agreed a repayment plan. The client is given the chance to pay, or agree an arrangement, by a certain date. </w:t>
      </w:r>
    </w:p>
    <w:p w14:paraId="34BD737B" w14:textId="227AD6C6" w:rsidR="00A44EC1" w:rsidRPr="00C71FE7" w:rsidRDefault="00A44EC1" w:rsidP="00396E46">
      <w:pPr>
        <w:pStyle w:val="Heading2"/>
      </w:pPr>
      <w:bookmarkStart w:id="17" w:name="_Toc174365506"/>
      <w:r w:rsidRPr="00C71FE7">
        <w:t>Final reminder</w:t>
      </w:r>
      <w:bookmarkEnd w:id="17"/>
    </w:p>
    <w:p w14:paraId="2CD764BC" w14:textId="5762CF83" w:rsidR="00A44EC1" w:rsidRDefault="00A44EC1" w:rsidP="00AE6656">
      <w:r>
        <w:t xml:space="preserve">This is issued after 45 days after the invoice issued date </w:t>
      </w:r>
      <w:r w:rsidRPr="008D5E06">
        <w:t>where c</w:t>
      </w:r>
      <w:r>
        <w:t>lients</w:t>
      </w:r>
      <w:r w:rsidRPr="008D5E06">
        <w:t xml:space="preserve"> </w:t>
      </w:r>
      <w:r>
        <w:t xml:space="preserve">still haven’t paid the amount due or agreed a repayment plan. The client is given the chance to pay, or agree an arrangement, by a certain date. </w:t>
      </w:r>
    </w:p>
    <w:p w14:paraId="5E4044B4" w14:textId="00230750" w:rsidR="00A44EC1" w:rsidRDefault="00A44EC1" w:rsidP="00396E46">
      <w:pPr>
        <w:pStyle w:val="Heading2"/>
      </w:pPr>
      <w:bookmarkStart w:id="18" w:name="_Toc174365507"/>
      <w:r>
        <w:t>Further action</w:t>
      </w:r>
      <w:bookmarkEnd w:id="18"/>
    </w:p>
    <w:p w14:paraId="6298A75F" w14:textId="77777777" w:rsidR="00A44EC1" w:rsidRDefault="00A44EC1" w:rsidP="00AE6656">
      <w:bookmarkStart w:id="19" w:name="_Hlk92441034"/>
      <w:r>
        <w:t>Failure to pay by the deadline stated in the final reminder will result in the council trying to make contact by telephone on at least two occasions to discuss a repayment plan. If there is failure to pay or make contact, then an officer will send a letter requesting contact.</w:t>
      </w:r>
    </w:p>
    <w:p w14:paraId="1559DCA1" w14:textId="77777777" w:rsidR="00A44EC1" w:rsidRDefault="00A44EC1" w:rsidP="00AE6656"/>
    <w:p w14:paraId="3371BC4B" w14:textId="77777777" w:rsidR="00A44EC1" w:rsidRDefault="00A44EC1" w:rsidP="00AE6656">
      <w:r>
        <w:t xml:space="preserve">In the event of no contact after all the above has been attempted, the council will send a final letter to advise that this matter has been referred to the Legal team. </w:t>
      </w:r>
      <w:r w:rsidRPr="00170A48">
        <w:t>This will result in a pre-action protocol letter being sent</w:t>
      </w:r>
      <w:r>
        <w:t xml:space="preserve">. Failure to respond to this letter within 30 days, will result in court action.  </w:t>
      </w:r>
    </w:p>
    <w:p w14:paraId="2D515EBE" w14:textId="105828F4" w:rsidR="00A44EC1" w:rsidRDefault="00DD4E61" w:rsidP="00396E46">
      <w:pPr>
        <w:pStyle w:val="Heading1"/>
      </w:pPr>
      <w:bookmarkStart w:id="20" w:name="_Toc174365508"/>
      <w:bookmarkEnd w:id="19"/>
      <w:r>
        <w:lastRenderedPageBreak/>
        <w:t>County Court Judgments (CCJs)</w:t>
      </w:r>
      <w:bookmarkEnd w:id="20"/>
    </w:p>
    <w:p w14:paraId="399150AA" w14:textId="2F175D1D" w:rsidR="00193E90" w:rsidRDefault="00193E90" w:rsidP="00396E46">
      <w:pPr>
        <w:pStyle w:val="Heading2"/>
      </w:pPr>
      <w:bookmarkStart w:id="21" w:name="_Toc174365509"/>
      <w:r>
        <w:t>C</w:t>
      </w:r>
      <w:r w:rsidRPr="000767B5">
        <w:t xml:space="preserve">ounty </w:t>
      </w:r>
      <w:r>
        <w:t>C</w:t>
      </w:r>
      <w:r w:rsidRPr="000767B5">
        <w:t xml:space="preserve">ourt </w:t>
      </w:r>
      <w:r>
        <w:t>J</w:t>
      </w:r>
      <w:r w:rsidRPr="000767B5">
        <w:t>udgment</w:t>
      </w:r>
      <w:bookmarkEnd w:id="21"/>
      <w:r>
        <w:t xml:space="preserve"> </w:t>
      </w:r>
    </w:p>
    <w:p w14:paraId="16D06E64" w14:textId="77777777" w:rsidR="00193E90" w:rsidRPr="00BC258B" w:rsidRDefault="00193E90" w:rsidP="00AE6656">
      <w:pPr>
        <w:rPr>
          <w:rStyle w:val="Strong"/>
        </w:rPr>
      </w:pPr>
      <w:r w:rsidRPr="00BC258B">
        <w:rPr>
          <w:rStyle w:val="Strong"/>
        </w:rPr>
        <w:t>If all other reasonable options for debt recovery have been exhausted, the council may decide to proceed to the County Court to recover the outstanding balance. A County Court Judgment (‘CCJ’) is a type of court order that may be registered against a person who fails to repay money they owe.</w:t>
      </w:r>
    </w:p>
    <w:p w14:paraId="38EAC65B" w14:textId="554619AE" w:rsidR="00BC258B" w:rsidRDefault="00BC258B" w:rsidP="439A45BB">
      <w:pPr>
        <w:rPr>
          <w:lang w:val="en-US"/>
        </w:rPr>
      </w:pPr>
      <w:r w:rsidRPr="439A45BB">
        <w:rPr>
          <w:lang w:val="en-US"/>
        </w:rPr>
        <w:t>Before a CCJ</w:t>
      </w:r>
      <w:r w:rsidRPr="439A45BB">
        <w:rPr>
          <w:rStyle w:val="Strong"/>
          <w:lang w:val="en-US"/>
        </w:rPr>
        <w:t xml:space="preserve"> </w:t>
      </w:r>
      <w:r w:rsidRPr="439A45BB">
        <w:rPr>
          <w:lang w:val="en-US"/>
        </w:rPr>
        <w:t>is sought, a letter will be sent to the client or their representative with details of the debts and what the consequences of this action are.</w:t>
      </w:r>
    </w:p>
    <w:p w14:paraId="21C8602F" w14:textId="77777777" w:rsidR="00BC258B" w:rsidRPr="00DF1C39" w:rsidRDefault="00BC258B" w:rsidP="00AE6656">
      <w:pPr>
        <w:rPr>
          <w:lang w:val="en" w:eastAsia="en-GB"/>
        </w:rPr>
      </w:pPr>
      <w:r w:rsidRPr="00DF1C39">
        <w:rPr>
          <w:lang w:val="en" w:eastAsia="en-GB"/>
        </w:rPr>
        <w:t>Where a CCJ is obtained</w:t>
      </w:r>
      <w:r>
        <w:rPr>
          <w:lang w:val="en" w:eastAsia="en-GB"/>
        </w:rPr>
        <w:t>,</w:t>
      </w:r>
      <w:r w:rsidRPr="00DF1C39">
        <w:rPr>
          <w:lang w:val="en" w:eastAsia="en-GB"/>
        </w:rPr>
        <w:t xml:space="preserve"> the judgment will be posted to the person</w:t>
      </w:r>
      <w:r>
        <w:rPr>
          <w:lang w:val="en" w:eastAsia="en-GB"/>
        </w:rPr>
        <w:t xml:space="preserve"> by the court</w:t>
      </w:r>
      <w:r w:rsidRPr="00DF1C39">
        <w:rPr>
          <w:lang w:val="en" w:eastAsia="en-GB"/>
        </w:rPr>
        <w:t xml:space="preserve"> and will explain:</w:t>
      </w:r>
    </w:p>
    <w:p w14:paraId="1F1EBDB9" w14:textId="77777777" w:rsidR="00BC258B" w:rsidRPr="00056B7B" w:rsidRDefault="00BC258B" w:rsidP="00396E46">
      <w:pPr>
        <w:pStyle w:val="ListParagraph"/>
      </w:pPr>
      <w:r w:rsidRPr="00056B7B">
        <w:t>how much they owe</w:t>
      </w:r>
    </w:p>
    <w:p w14:paraId="79612317" w14:textId="77777777" w:rsidR="00BC258B" w:rsidRPr="00056B7B" w:rsidRDefault="00BC258B" w:rsidP="00396E46">
      <w:pPr>
        <w:pStyle w:val="ListParagraph"/>
      </w:pPr>
      <w:r w:rsidRPr="00056B7B">
        <w:t xml:space="preserve">how to pay </w:t>
      </w:r>
    </w:p>
    <w:p w14:paraId="03DDD0C9" w14:textId="787F489F" w:rsidR="00BC258B" w:rsidRPr="00BC258B" w:rsidRDefault="00BC258B" w:rsidP="00396E46">
      <w:pPr>
        <w:pStyle w:val="ListParagraph"/>
      </w:pPr>
      <w:r w:rsidRPr="439A45BB">
        <w:rPr>
          <w:lang w:val="en-US"/>
        </w:rPr>
        <w:t xml:space="preserve">and when payment is required </w:t>
      </w:r>
    </w:p>
    <w:p w14:paraId="4E6D6C82" w14:textId="17375EA1" w:rsidR="00BC258B" w:rsidRPr="00BC258B" w:rsidRDefault="00BC258B" w:rsidP="439A45BB">
      <w:pPr>
        <w:rPr>
          <w:lang w:val="en-US"/>
        </w:rPr>
      </w:pPr>
      <w:r w:rsidRPr="439A45BB">
        <w:rPr>
          <w:lang w:val="en-US"/>
        </w:rPr>
        <w:t>If the council does seek a CCJ, the court will charge a fee which is appropriate to the debt</w:t>
      </w:r>
      <w:r w:rsidRPr="439A45BB">
        <w:rPr>
          <w:color w:val="FF0000"/>
          <w:lang w:val="en-US"/>
        </w:rPr>
        <w:t xml:space="preserve">. </w:t>
      </w:r>
      <w:r w:rsidRPr="439A45BB">
        <w:rPr>
          <w:lang w:val="en-US"/>
        </w:rPr>
        <w:t xml:space="preserve">In addition to this, the council’s legal team will charge hourly fees for preparing the case and attending court. </w:t>
      </w:r>
    </w:p>
    <w:p w14:paraId="3042CE99" w14:textId="26D4EA28" w:rsidR="00BC258B" w:rsidRPr="00896808" w:rsidRDefault="00BC258B" w:rsidP="00396E46">
      <w:pPr>
        <w:pStyle w:val="Heading2"/>
      </w:pPr>
      <w:bookmarkStart w:id="22" w:name="_Toc174365510"/>
      <w:r w:rsidRPr="00B901CA">
        <w:t xml:space="preserve">Actions that can be taken </w:t>
      </w:r>
      <w:r w:rsidRPr="00896808">
        <w:t>once a CCJ is obtained, and the debt remains unpaid, or a repayment plan has not been agreed.</w:t>
      </w:r>
      <w:bookmarkEnd w:id="22"/>
      <w:r w:rsidRPr="00896808">
        <w:t xml:space="preserve"> </w:t>
      </w:r>
    </w:p>
    <w:p w14:paraId="5AAA6A59" w14:textId="77777777" w:rsidR="00911209" w:rsidRPr="004E2D2F" w:rsidRDefault="00911209" w:rsidP="00AE6656">
      <w:pPr>
        <w:pStyle w:val="Heading3"/>
      </w:pPr>
      <w:bookmarkStart w:id="23" w:name="_Toc174365511"/>
      <w:r w:rsidRPr="004E2D2F">
        <w:t>Third-party debt orders</w:t>
      </w:r>
      <w:bookmarkEnd w:id="23"/>
    </w:p>
    <w:p w14:paraId="44409BDB" w14:textId="4F3B9693" w:rsidR="00911209" w:rsidRPr="00911209" w:rsidRDefault="00911209" w:rsidP="00AE6656">
      <w:r w:rsidRPr="00911209">
        <w:t xml:space="preserve">A further court order can be applied for which allows the council to seek funds owed by a third party direct from the third party. </w:t>
      </w:r>
    </w:p>
    <w:p w14:paraId="414FC377" w14:textId="07100092" w:rsidR="006D313C" w:rsidRPr="00BB47B3" w:rsidRDefault="00911209" w:rsidP="00AE6656">
      <w:r w:rsidRPr="00911209">
        <w:t>If the council does seek a third-party debt order, the court will charge an additional fee for which the service user will be liable. In addition to this, the council’s legal team will charge an hourly rate for preparing the case and attending court. These additional costs will be added to the debt outstanding and included in the application for the third-party debt order.</w:t>
      </w:r>
    </w:p>
    <w:p w14:paraId="05356646" w14:textId="77777777" w:rsidR="00911209" w:rsidRPr="006D313C" w:rsidRDefault="00911209" w:rsidP="00AE6656">
      <w:pPr>
        <w:pStyle w:val="Heading3"/>
      </w:pPr>
      <w:bookmarkStart w:id="24" w:name="_Toc174365512"/>
      <w:r w:rsidRPr="00914DED">
        <w:rPr>
          <w:rStyle w:val="Strong"/>
          <w:b/>
          <w:bCs/>
        </w:rPr>
        <w:t>Attachment</w:t>
      </w:r>
      <w:r w:rsidRPr="006D313C">
        <w:t xml:space="preserve"> of earnings</w:t>
      </w:r>
      <w:bookmarkEnd w:id="24"/>
      <w:r w:rsidRPr="006D313C">
        <w:t xml:space="preserve"> </w:t>
      </w:r>
    </w:p>
    <w:p w14:paraId="03CE5B3D" w14:textId="60F3A46A" w:rsidR="00911209" w:rsidRPr="00BB47B3" w:rsidRDefault="00911209" w:rsidP="00AE6656">
      <w:r>
        <w:t xml:space="preserve">The council may also seek an Attachment of Earnings Order. This </w:t>
      </w:r>
      <w:r w:rsidRPr="008D5E06">
        <w:t xml:space="preserve">order can be </w:t>
      </w:r>
      <w:r>
        <w:t xml:space="preserve">sent </w:t>
      </w:r>
      <w:r w:rsidRPr="008D5E06">
        <w:t xml:space="preserve">to </w:t>
      </w:r>
      <w:r>
        <w:t>an</w:t>
      </w:r>
      <w:r w:rsidRPr="008D5E06">
        <w:t xml:space="preserve"> employer to </w:t>
      </w:r>
      <w:r>
        <w:t xml:space="preserve">ask them to </w:t>
      </w:r>
      <w:r w:rsidRPr="008D5E06">
        <w:t>d</w:t>
      </w:r>
      <w:r>
        <w:t>educt amounts regularly from a person’s wages</w:t>
      </w:r>
      <w:r w:rsidRPr="008D5E06">
        <w:t xml:space="preserve"> until the debt is cleared.</w:t>
      </w:r>
      <w:r>
        <w:t xml:space="preserve"> </w:t>
      </w:r>
    </w:p>
    <w:p w14:paraId="1E8EDF72" w14:textId="77777777" w:rsidR="00911209" w:rsidRPr="006D313C" w:rsidRDefault="00911209" w:rsidP="00AE6656">
      <w:pPr>
        <w:pStyle w:val="Heading3"/>
        <w:rPr>
          <w:rStyle w:val="Strong"/>
          <w:b/>
          <w:bCs/>
        </w:rPr>
      </w:pPr>
      <w:bookmarkStart w:id="25" w:name="_Toc174365513"/>
      <w:r w:rsidRPr="006D313C">
        <w:rPr>
          <w:rStyle w:val="Strong"/>
          <w:b/>
          <w:bCs/>
        </w:rPr>
        <w:lastRenderedPageBreak/>
        <w:t>Charging Order</w:t>
      </w:r>
      <w:bookmarkEnd w:id="25"/>
    </w:p>
    <w:p w14:paraId="50319966" w14:textId="3E0C2F2E" w:rsidR="006D313C" w:rsidRPr="006D313C" w:rsidRDefault="00911209" w:rsidP="00AE6656">
      <w:r w:rsidRPr="009E3E7F">
        <w:t xml:space="preserve">This is an order that places a charge on a property to secure the debt and to ensure that a debt is paid from the proceeds when it is sold. The </w:t>
      </w:r>
      <w:r>
        <w:t>c</w:t>
      </w:r>
      <w:r w:rsidRPr="009E3E7F">
        <w:t xml:space="preserve">ouncil can </w:t>
      </w:r>
      <w:r>
        <w:t xml:space="preserve">also </w:t>
      </w:r>
      <w:r w:rsidRPr="009E3E7F">
        <w:t xml:space="preserve">enforce the sale of a property to </w:t>
      </w:r>
      <w:r w:rsidRPr="006D313C">
        <w:t>realise</w:t>
      </w:r>
      <w:r w:rsidRPr="009E3E7F">
        <w:t xml:space="preserve"> this debt in certain circumstances. </w:t>
      </w:r>
    </w:p>
    <w:p w14:paraId="03596B5A" w14:textId="020DDD86" w:rsidR="00911209" w:rsidRPr="00BB47B3" w:rsidRDefault="00911209" w:rsidP="00AE6656">
      <w:r>
        <w:t>I</w:t>
      </w:r>
      <w:r w:rsidRPr="00A531FA">
        <w:t>f the council does seek a charging order the court will charge a fee</w:t>
      </w:r>
      <w:r>
        <w:t xml:space="preserve"> for which the service user will be liable</w:t>
      </w:r>
      <w:r w:rsidRPr="00A531FA">
        <w:t>. In addition to this, the council’s legal team will charge</w:t>
      </w:r>
      <w:r>
        <w:t xml:space="preserve"> </w:t>
      </w:r>
      <w:r w:rsidR="006D313C">
        <w:t>an hourly</w:t>
      </w:r>
      <w:r>
        <w:t xml:space="preserve"> rate</w:t>
      </w:r>
      <w:r w:rsidRPr="00A531FA">
        <w:t xml:space="preserve"> for preparing the case and attending court. These additional costs </w:t>
      </w:r>
      <w:r>
        <w:t xml:space="preserve">plus interest </w:t>
      </w:r>
      <w:r w:rsidRPr="00A531FA">
        <w:t xml:space="preserve">will be added to the debt outstanding and </w:t>
      </w:r>
      <w:r>
        <w:t xml:space="preserve">will be </w:t>
      </w:r>
      <w:r w:rsidRPr="00A531FA">
        <w:t>included in the application for the charging order.</w:t>
      </w:r>
    </w:p>
    <w:p w14:paraId="5212EF56" w14:textId="148B90DA" w:rsidR="00911209" w:rsidRDefault="00911209" w:rsidP="00AE6656">
      <w:r>
        <w:t xml:space="preserve">A </w:t>
      </w:r>
      <w:r w:rsidRPr="0049533F">
        <w:t xml:space="preserve">further application needs </w:t>
      </w:r>
      <w:r>
        <w:t>to be made to the court to obtain an order for sale to enforce the charging order.</w:t>
      </w:r>
    </w:p>
    <w:p w14:paraId="3B748D29" w14:textId="77777777" w:rsidR="00911209" w:rsidRDefault="00911209" w:rsidP="00AE6656">
      <w:r>
        <w:t>There is an option for bailiffs to be used in certain circumstances, but this should be as a last resort. If the use of bailiffs is considered, further legal advice should be sought.</w:t>
      </w:r>
    </w:p>
    <w:p w14:paraId="41D60AD8" w14:textId="2DC67CB1" w:rsidR="006D313C" w:rsidRPr="008D5E06" w:rsidRDefault="006D313C" w:rsidP="00396E46">
      <w:pPr>
        <w:pStyle w:val="Heading2"/>
      </w:pPr>
      <w:bookmarkStart w:id="26" w:name="_Toc174365514"/>
      <w:r w:rsidRPr="008D5E06">
        <w:t>Authorisation</w:t>
      </w:r>
      <w:bookmarkEnd w:id="26"/>
    </w:p>
    <w:p w14:paraId="7070E435" w14:textId="77777777" w:rsidR="006D313C" w:rsidRDefault="006D313C" w:rsidP="00AE6656">
      <w:r w:rsidRPr="008D5E06">
        <w:t xml:space="preserve">The decision to refer a case for </w:t>
      </w:r>
      <w:r>
        <w:t xml:space="preserve">an application for a CCJ and further action </w:t>
      </w:r>
      <w:r w:rsidRPr="008D5E06">
        <w:t xml:space="preserve">will be made by the </w:t>
      </w:r>
      <w:r w:rsidRPr="00C351FB">
        <w:t xml:space="preserve">Finance and Legal </w:t>
      </w:r>
      <w:r>
        <w:t>P</w:t>
      </w:r>
      <w:r w:rsidRPr="00C351FB">
        <w:t xml:space="preserve">rotection </w:t>
      </w:r>
      <w:r>
        <w:t>P</w:t>
      </w:r>
      <w:r w:rsidRPr="00C351FB">
        <w:t xml:space="preserve">anel. </w:t>
      </w:r>
    </w:p>
    <w:p w14:paraId="0531F10B" w14:textId="1B907F8F" w:rsidR="00A44EC1" w:rsidRPr="00B83869" w:rsidRDefault="006D313C" w:rsidP="00396E46">
      <w:pPr>
        <w:pStyle w:val="Heading1"/>
        <w:rPr>
          <w:color w:val="auto"/>
        </w:rPr>
      </w:pPr>
      <w:bookmarkStart w:id="27" w:name="_Toc174365515"/>
      <w:r>
        <w:t xml:space="preserve">Write </w:t>
      </w:r>
      <w:r w:rsidRPr="00B83869">
        <w:rPr>
          <w:color w:val="auto"/>
        </w:rPr>
        <w:t>offs</w:t>
      </w:r>
      <w:bookmarkEnd w:id="27"/>
    </w:p>
    <w:p w14:paraId="67F773EB" w14:textId="77777777" w:rsidR="00D4671F" w:rsidRPr="00B83869" w:rsidRDefault="00D4671F" w:rsidP="00AE6656">
      <w:r w:rsidRPr="00B83869">
        <w:t>In certain circumstances a debt may need to be written off and there are several reasons why debt may become irrecoverable. These include cases where:</w:t>
      </w:r>
    </w:p>
    <w:p w14:paraId="1B26F6EF" w14:textId="77777777" w:rsidR="00D4671F" w:rsidRPr="00B83869" w:rsidRDefault="00D4671F" w:rsidP="00396E46">
      <w:pPr>
        <w:pStyle w:val="ListParagraph"/>
      </w:pPr>
      <w:r w:rsidRPr="00B83869">
        <w:t>The customer has absconded and cannot be traced</w:t>
      </w:r>
    </w:p>
    <w:p w14:paraId="40DBEC44" w14:textId="5AAE9B20" w:rsidR="00D4671F" w:rsidRPr="00B83869" w:rsidRDefault="00D4671F" w:rsidP="00396E46">
      <w:pPr>
        <w:pStyle w:val="ListParagraph"/>
      </w:pPr>
      <w:r w:rsidRPr="439A45BB">
        <w:rPr>
          <w:lang w:val="en-US"/>
        </w:rPr>
        <w:t>The customer has died and there are no funds available in the estate i.e. the estate is insolvent.</w:t>
      </w:r>
    </w:p>
    <w:p w14:paraId="5003C472" w14:textId="77777777" w:rsidR="00D4671F" w:rsidRPr="00D4671F" w:rsidRDefault="00D4671F" w:rsidP="00396E46">
      <w:pPr>
        <w:pStyle w:val="ListParagraph"/>
      </w:pPr>
      <w:r w:rsidRPr="00D4671F">
        <w:t>The debt is too old to recover</w:t>
      </w:r>
    </w:p>
    <w:p w14:paraId="3B9417CA" w14:textId="77777777" w:rsidR="00D4671F" w:rsidRPr="00D4671F" w:rsidRDefault="00D4671F" w:rsidP="00396E46">
      <w:pPr>
        <w:pStyle w:val="ListParagraph"/>
      </w:pPr>
      <w:r w:rsidRPr="00D4671F">
        <w:t>The balance is small, and the recovery costs would make the debt uneconomical to collect.</w:t>
      </w:r>
    </w:p>
    <w:p w14:paraId="3B617A13" w14:textId="77777777" w:rsidR="00D4671F" w:rsidRPr="00D4671F" w:rsidRDefault="00D4671F" w:rsidP="00396E46">
      <w:pPr>
        <w:pStyle w:val="ListParagraph"/>
      </w:pPr>
      <w:r w:rsidRPr="00D4671F">
        <w:t>It is not cost effective to continue recovery action</w:t>
      </w:r>
    </w:p>
    <w:p w14:paraId="2594EEA4" w14:textId="77777777" w:rsidR="00D4671F" w:rsidRPr="00D4671F" w:rsidRDefault="00D4671F" w:rsidP="00396E46">
      <w:pPr>
        <w:pStyle w:val="ListParagraph"/>
      </w:pPr>
      <w:r w:rsidRPr="00D4671F">
        <w:t>The customer is experiencing severe financial hardship</w:t>
      </w:r>
    </w:p>
    <w:p w14:paraId="5D93C4D8" w14:textId="77777777" w:rsidR="00D4671F" w:rsidRPr="00D4671F" w:rsidRDefault="00D4671F" w:rsidP="00396E46">
      <w:pPr>
        <w:pStyle w:val="ListParagraph"/>
      </w:pPr>
      <w:r w:rsidRPr="00D4671F">
        <w:t>The individual (or their companies) has become insolvent</w:t>
      </w:r>
    </w:p>
    <w:p w14:paraId="65247C0F" w14:textId="7060FEC3" w:rsidR="00D4671F" w:rsidRPr="006D3147" w:rsidRDefault="00D4671F" w:rsidP="00AE6656">
      <w:r w:rsidRPr="006D3147">
        <w:t>There are also cases where there are overpayments on accounts that cannot be refunded.</w:t>
      </w:r>
      <w:r>
        <w:t xml:space="preserve"> </w:t>
      </w:r>
      <w:r w:rsidRPr="006D3147">
        <w:t>This is because either the customer has moved without providing a forwarding address, or they have died, and the beneficiaries have not been found.</w:t>
      </w:r>
      <w:r w:rsidR="00B83869">
        <w:br w:type="page"/>
      </w:r>
    </w:p>
    <w:p w14:paraId="3624E5C1" w14:textId="116A2461" w:rsidR="00840732" w:rsidRPr="00B83869" w:rsidRDefault="00491525" w:rsidP="00396E46">
      <w:pPr>
        <w:pStyle w:val="Heading2"/>
        <w:rPr>
          <w:color w:val="auto"/>
        </w:rPr>
      </w:pPr>
      <w:bookmarkStart w:id="28" w:name="_Toc174365516"/>
      <w:r>
        <w:lastRenderedPageBreak/>
        <w:t>P</w:t>
      </w:r>
      <w:r w:rsidR="00840732" w:rsidRPr="006D3147">
        <w:t>rocess for Authorisation (Cases under £2,500</w:t>
      </w:r>
      <w:r w:rsidR="00840732" w:rsidRPr="00B83869">
        <w:rPr>
          <w:color w:val="auto"/>
        </w:rPr>
        <w:t>)</w:t>
      </w:r>
      <w:bookmarkEnd w:id="28"/>
    </w:p>
    <w:p w14:paraId="408EE8A4" w14:textId="77777777" w:rsidR="00840732" w:rsidRDefault="00840732" w:rsidP="00AE6656">
      <w:r>
        <w:t>For Adults debt, p</w:t>
      </w:r>
      <w:r w:rsidRPr="006D3147">
        <w:t xml:space="preserve">ermission will be sought from the </w:t>
      </w:r>
      <w:r>
        <w:t>Head of Service</w:t>
      </w:r>
      <w:r w:rsidRPr="006D3147">
        <w:t xml:space="preserve"> who</w:t>
      </w:r>
      <w:r>
        <w:t xml:space="preserve">se section </w:t>
      </w:r>
      <w:r w:rsidRPr="006D3147">
        <w:t>raised the invoice(s).</w:t>
      </w:r>
      <w:r>
        <w:t xml:space="preserve"> </w:t>
      </w:r>
    </w:p>
    <w:p w14:paraId="457FB904" w14:textId="77777777" w:rsidR="00840732" w:rsidRDefault="00840732" w:rsidP="00AE6656">
      <w:r>
        <w:t>For non-residential debt</w:t>
      </w:r>
      <w:r w:rsidRPr="006D3147">
        <w:t>, every case will be checked and approved by the Accounts Receivable Manager.</w:t>
      </w:r>
      <w:r>
        <w:t xml:space="preserve"> </w:t>
      </w:r>
    </w:p>
    <w:p w14:paraId="4F12D7A3" w14:textId="2BA02AE4" w:rsidR="00840732" w:rsidRPr="006D3147" w:rsidRDefault="00840732" w:rsidP="00AE6656">
      <w:r>
        <w:t>For residential debt, every case is checked by the Financial Services Manager and Head of Finance.</w:t>
      </w:r>
    </w:p>
    <w:p w14:paraId="20E7686D" w14:textId="5B8212A0" w:rsidR="00840732" w:rsidRPr="006D3147" w:rsidRDefault="00840732" w:rsidP="00396E46">
      <w:pPr>
        <w:pStyle w:val="Heading2"/>
      </w:pPr>
      <w:bookmarkStart w:id="29" w:name="_Toc174365517"/>
      <w:r w:rsidRPr="006D3147">
        <w:t>Process for Authorisation (Cases between £2,500 and £5,000)</w:t>
      </w:r>
      <w:bookmarkEnd w:id="29"/>
    </w:p>
    <w:p w14:paraId="689DD9C3" w14:textId="77777777" w:rsidR="00840732" w:rsidRDefault="00840732" w:rsidP="00AE6656">
      <w:r>
        <w:t>For Adults debt, p</w:t>
      </w:r>
      <w:r w:rsidRPr="006D3147">
        <w:t xml:space="preserve">ermission will be sought from the </w:t>
      </w:r>
      <w:r>
        <w:t>Head of Service</w:t>
      </w:r>
      <w:r w:rsidRPr="006D3147">
        <w:t xml:space="preserve"> who</w:t>
      </w:r>
      <w:r>
        <w:t xml:space="preserve">se section </w:t>
      </w:r>
      <w:r w:rsidRPr="006D3147">
        <w:t>raised the invoice(s).</w:t>
      </w:r>
      <w:r>
        <w:t xml:space="preserve"> </w:t>
      </w:r>
    </w:p>
    <w:p w14:paraId="0AB80893" w14:textId="77777777" w:rsidR="00840732" w:rsidRDefault="00840732" w:rsidP="00AE6656">
      <w:r>
        <w:t>For non-residential debt</w:t>
      </w:r>
      <w:r w:rsidRPr="006D3147">
        <w:t>, every case will be checked and approved by the Accounts Receivable Manager.</w:t>
      </w:r>
      <w:r>
        <w:t xml:space="preserve"> </w:t>
      </w:r>
    </w:p>
    <w:p w14:paraId="61D6807E" w14:textId="09FA9089" w:rsidR="00840732" w:rsidRPr="006D3147" w:rsidRDefault="00840732" w:rsidP="00AE6656">
      <w:r>
        <w:t>For residential debt, every case is checked by the Financial Services Manager and the Section 151 Officer approves.</w:t>
      </w:r>
    </w:p>
    <w:p w14:paraId="7D0C3B02" w14:textId="68BB923A" w:rsidR="00840732" w:rsidRPr="006D3147" w:rsidRDefault="00840732" w:rsidP="00396E46">
      <w:pPr>
        <w:pStyle w:val="Heading2"/>
      </w:pPr>
      <w:bookmarkStart w:id="30" w:name="_Toc174365518"/>
      <w:r w:rsidRPr="006D3147">
        <w:t>Process for Authorisation (Cases over £5,000)</w:t>
      </w:r>
      <w:bookmarkEnd w:id="30"/>
    </w:p>
    <w:p w14:paraId="5BDF40F8" w14:textId="79EF6BD0" w:rsidR="00840732" w:rsidRDefault="00840732" w:rsidP="00AE6656">
      <w:r w:rsidRPr="006D3147">
        <w:t>Write</w:t>
      </w:r>
      <w:r>
        <w:t>-</w:t>
      </w:r>
      <w:r w:rsidRPr="006D3147">
        <w:t xml:space="preserve">offs are </w:t>
      </w:r>
      <w:r>
        <w:t>co-ordinated</w:t>
      </w:r>
      <w:r w:rsidRPr="006D3147">
        <w:t xml:space="preserve"> by the Assistant Head of Revenues and Benefits</w:t>
      </w:r>
      <w:r>
        <w:t xml:space="preserve"> who escalates for Executive Member approval.</w:t>
      </w:r>
      <w:r>
        <w:rPr>
          <w:noProof/>
        </w:rPr>
        <w:br w:type="page"/>
      </w:r>
    </w:p>
    <w:p w14:paraId="5BD4CB5E" w14:textId="021EA8AA" w:rsidR="00840732" w:rsidRDefault="00840732" w:rsidP="00396E46">
      <w:pPr>
        <w:pStyle w:val="Heading1"/>
      </w:pPr>
      <w:bookmarkStart w:id="31" w:name="_Toc174365519"/>
      <w:r w:rsidRPr="00DF57B8">
        <w:rPr>
          <w:noProof/>
        </w:rPr>
        <w:lastRenderedPageBreak/>
        <w:drawing>
          <wp:anchor distT="0" distB="0" distL="114300" distR="114300" simplePos="0" relativeHeight="251660288" behindDoc="0" locked="0" layoutInCell="1" allowOverlap="1" wp14:anchorId="2BAD4AF4" wp14:editId="1A7245C6">
            <wp:simplePos x="0" y="0"/>
            <wp:positionH relativeFrom="margin">
              <wp:posOffset>1582387</wp:posOffset>
            </wp:positionH>
            <wp:positionV relativeFrom="paragraph">
              <wp:posOffset>249382</wp:posOffset>
            </wp:positionV>
            <wp:extent cx="3035935" cy="8809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4397" t="3216" b="221"/>
                    <a:stretch/>
                  </pic:blipFill>
                  <pic:spPr bwMode="auto">
                    <a:xfrm>
                      <a:off x="0" y="0"/>
                      <a:ext cx="3036543" cy="8811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Debt Recovery Process</w:t>
      </w:r>
      <w:bookmarkEnd w:id="31"/>
    </w:p>
    <w:p w14:paraId="29366C26" w14:textId="6B1790E6" w:rsidR="00840732" w:rsidRDefault="00840732" w:rsidP="00AE6656">
      <w:pPr>
        <w:pStyle w:val="NoSpacing"/>
      </w:pPr>
    </w:p>
    <w:sectPr w:rsidR="00840732" w:rsidSect="0042555B">
      <w:headerReference w:type="even" r:id="rId13"/>
      <w:headerReference w:type="default" r:id="rId14"/>
      <w:footerReference w:type="even" r:id="rId15"/>
      <w:footerReference w:type="default" r:id="rId16"/>
      <w:headerReference w:type="first" r:id="rId17"/>
      <w:footerReference w:type="first" r:id="rId18"/>
      <w:pgSz w:w="11909" w:h="16834" w:code="9"/>
      <w:pgMar w:top="1440" w:right="1080" w:bottom="1440" w:left="1080" w:header="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192C2" w14:textId="77777777" w:rsidR="000E274D" w:rsidRDefault="000E274D" w:rsidP="00AE6656">
      <w:r>
        <w:separator/>
      </w:r>
    </w:p>
    <w:p w14:paraId="39A7F63E" w14:textId="77777777" w:rsidR="000E274D" w:rsidRDefault="000E274D" w:rsidP="00AE6656"/>
    <w:p w14:paraId="7B9E7339" w14:textId="77777777" w:rsidR="000E274D" w:rsidRDefault="000E274D" w:rsidP="00AE6656"/>
    <w:p w14:paraId="08B75596" w14:textId="77777777" w:rsidR="000E274D" w:rsidRDefault="000E274D" w:rsidP="00AE6656"/>
  </w:endnote>
  <w:endnote w:type="continuationSeparator" w:id="0">
    <w:p w14:paraId="4A8E2675" w14:textId="77777777" w:rsidR="000E274D" w:rsidRDefault="000E274D" w:rsidP="00AE6656">
      <w:r>
        <w:continuationSeparator/>
      </w:r>
    </w:p>
    <w:p w14:paraId="4A66373C" w14:textId="77777777" w:rsidR="000E274D" w:rsidRDefault="000E274D" w:rsidP="00AE6656"/>
    <w:p w14:paraId="4E61E5BE" w14:textId="77777777" w:rsidR="000E274D" w:rsidRDefault="000E274D" w:rsidP="00AE6656"/>
    <w:p w14:paraId="1CB787E9" w14:textId="77777777" w:rsidR="000E274D" w:rsidRDefault="000E274D" w:rsidP="00AE6656"/>
  </w:endnote>
  <w:endnote w:type="continuationNotice" w:id="1">
    <w:p w14:paraId="5402947D" w14:textId="77777777" w:rsidR="000E274D" w:rsidRDefault="000E274D" w:rsidP="00AE6656"/>
    <w:p w14:paraId="020761DF" w14:textId="77777777" w:rsidR="000E274D" w:rsidRDefault="000E274D" w:rsidP="00AE6656"/>
    <w:p w14:paraId="70424F0C" w14:textId="77777777" w:rsidR="000E274D" w:rsidRDefault="000E274D" w:rsidP="00AE6656"/>
    <w:p w14:paraId="3ADF718E" w14:textId="77777777" w:rsidR="000E274D" w:rsidRDefault="000E274D" w:rsidP="00AE6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60D68" w14:textId="77777777" w:rsidR="00711096" w:rsidRDefault="00711096" w:rsidP="00056B7B">
    <w:pPr>
      <w:pStyle w:val="Footer"/>
      <w:spacing w:after="240"/>
    </w:pPr>
  </w:p>
  <w:p w14:paraId="5B2EF79B" w14:textId="77777777" w:rsidR="00AF3CA2" w:rsidRDefault="00AF3CA2" w:rsidP="00AE6656"/>
  <w:p w14:paraId="0CBBFF96" w14:textId="77777777" w:rsidR="00AF3CA2" w:rsidRDefault="00AF3CA2" w:rsidP="00AE6656"/>
  <w:p w14:paraId="4CC7F549" w14:textId="77777777" w:rsidR="00911209" w:rsidRDefault="00911209" w:rsidP="00AE66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CellMar>
        <w:left w:w="0" w:type="dxa"/>
        <w:right w:w="0" w:type="dxa"/>
      </w:tblCellMar>
      <w:tblLook w:val="04A0" w:firstRow="1" w:lastRow="0" w:firstColumn="1" w:lastColumn="0" w:noHBand="0" w:noVBand="1"/>
    </w:tblPr>
    <w:tblGrid>
      <w:gridCol w:w="8753"/>
      <w:gridCol w:w="996"/>
    </w:tblGrid>
    <w:tr w:rsidR="00AA1E89" w:rsidRPr="002E782B" w14:paraId="36382C46" w14:textId="77777777" w:rsidTr="007E0B41">
      <w:tc>
        <w:tcPr>
          <w:tcW w:w="4489" w:type="pct"/>
        </w:tcPr>
        <w:p w14:paraId="070E4125" w14:textId="46B7DF86" w:rsidR="00AA1E89" w:rsidRPr="006346D8" w:rsidRDefault="00527C29" w:rsidP="00AA1E89">
          <w:pPr>
            <w:pStyle w:val="Footer"/>
            <w:spacing w:after="240"/>
          </w:pPr>
          <w:r>
            <w:rPr>
              <w:rFonts w:eastAsia="Times New Roman"/>
              <w:szCs w:val="20"/>
              <w:lang w:eastAsia="en-GB"/>
            </w:rPr>
            <w:fldChar w:fldCharType="begin"/>
          </w:r>
          <w:r>
            <w:rPr>
              <w:rFonts w:eastAsia="Times New Roman"/>
              <w:szCs w:val="20"/>
              <w:lang w:eastAsia="en-GB"/>
            </w:rPr>
            <w:instrText xml:space="preserve"> STYLEREF  Title  \* MERGEFORMAT </w:instrText>
          </w:r>
          <w:r>
            <w:rPr>
              <w:rFonts w:eastAsia="Times New Roman"/>
              <w:szCs w:val="20"/>
              <w:lang w:eastAsia="en-GB"/>
            </w:rPr>
            <w:fldChar w:fldCharType="separate"/>
          </w:r>
          <w:r w:rsidR="003124C0" w:rsidRPr="003124C0">
            <w:rPr>
              <w:noProof/>
            </w:rPr>
            <w:t>Debt Recovery Policy for Adult Social Care</w:t>
          </w:r>
          <w:r>
            <w:fldChar w:fldCharType="end"/>
          </w:r>
        </w:p>
      </w:tc>
      <w:tc>
        <w:tcPr>
          <w:tcW w:w="511" w:type="pct"/>
        </w:tcPr>
        <w:p w14:paraId="48E5E2BC" w14:textId="77777777" w:rsidR="00AA1E89" w:rsidRPr="00C0184B" w:rsidRDefault="00AA1E89" w:rsidP="007E0B41">
          <w:pPr>
            <w:pStyle w:val="Footer"/>
            <w:spacing w:after="240"/>
            <w:jc w:val="right"/>
            <w:rPr>
              <w:rStyle w:val="Strong"/>
            </w:rPr>
          </w:pPr>
          <w:r w:rsidRPr="00C0184B">
            <w:rPr>
              <w:rStyle w:val="Strong"/>
            </w:rPr>
            <w:t xml:space="preserve">Page </w:t>
          </w:r>
          <w:r w:rsidRPr="00C0184B">
            <w:rPr>
              <w:rStyle w:val="Strong"/>
            </w:rPr>
            <w:fldChar w:fldCharType="begin"/>
          </w:r>
          <w:r w:rsidRPr="00C0184B">
            <w:rPr>
              <w:rStyle w:val="Strong"/>
            </w:rPr>
            <w:instrText xml:space="preserve"> PAGE   \* MERGEFORMAT </w:instrText>
          </w:r>
          <w:r w:rsidRPr="00C0184B">
            <w:rPr>
              <w:rStyle w:val="Strong"/>
            </w:rPr>
            <w:fldChar w:fldCharType="separate"/>
          </w:r>
          <w:r w:rsidRPr="00C0184B">
            <w:rPr>
              <w:rStyle w:val="Strong"/>
            </w:rPr>
            <w:t>5</w:t>
          </w:r>
          <w:r w:rsidRPr="00C0184B">
            <w:rPr>
              <w:rStyle w:val="Strong"/>
            </w:rPr>
            <w:fldChar w:fldCharType="end"/>
          </w:r>
        </w:p>
      </w:tc>
    </w:tr>
  </w:tbl>
  <w:p w14:paraId="4582DF93" w14:textId="4DF69065" w:rsidR="00911209" w:rsidRPr="00AA1E89" w:rsidRDefault="00911209" w:rsidP="00FE0C0F">
    <w:pPr>
      <w:pStyle w:val="Small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CB4DD" w14:textId="2B4CBBC7" w:rsidR="00711096" w:rsidRDefault="006409A1" w:rsidP="00056B7B">
    <w:pPr>
      <w:pStyle w:val="Footer"/>
      <w:spacing w:after="240"/>
    </w:pPr>
    <w:r>
      <w:rPr>
        <w:noProof/>
      </w:rPr>
      <w:drawing>
        <wp:anchor distT="0" distB="0" distL="114300" distR="114300" simplePos="0" relativeHeight="251663360" behindDoc="0" locked="0" layoutInCell="1" allowOverlap="1" wp14:anchorId="6652C216" wp14:editId="61171B20">
          <wp:simplePos x="0" y="0"/>
          <wp:positionH relativeFrom="page">
            <wp:posOffset>17145</wp:posOffset>
          </wp:positionH>
          <wp:positionV relativeFrom="page">
            <wp:posOffset>9250993</wp:posOffset>
          </wp:positionV>
          <wp:extent cx="7592400" cy="1422000"/>
          <wp:effectExtent l="0" t="0" r="0" b="6985"/>
          <wp:wrapNone/>
          <wp:docPr id="815271190"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271190" name="Picture 28">
                    <a:extLst>
                      <a:ext uri="{C183D7F6-B498-43B3-948B-1728B52AA6E4}">
                        <adec:decorative xmlns:adec="http://schemas.microsoft.com/office/drawing/2017/decorative" val="1"/>
                      </a:ext>
                    </a:extLst>
                  </pic:cNvPr>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92400" cy="142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B3D72" w14:textId="1E908E0E" w:rsidR="006409A1" w:rsidRDefault="006409A1" w:rsidP="00056B7B">
    <w:pPr>
      <w:pStyle w:val="Footer"/>
      <w:spacing w:after="240"/>
    </w:pPr>
  </w:p>
  <w:p w14:paraId="32F5FA9D" w14:textId="45C84049" w:rsidR="006409A1" w:rsidRDefault="006409A1" w:rsidP="00056B7B">
    <w:pPr>
      <w:pStyle w:val="Footer"/>
      <w:spacing w:after="240"/>
    </w:pPr>
  </w:p>
  <w:p w14:paraId="7D3F30BD" w14:textId="21112F35" w:rsidR="006409A1" w:rsidRDefault="006409A1" w:rsidP="00056B7B">
    <w:pPr>
      <w:pStyle w:val="Footer"/>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6CF14" w14:textId="77777777" w:rsidR="000E274D" w:rsidRDefault="000E274D" w:rsidP="00AE6656">
      <w:r>
        <w:separator/>
      </w:r>
    </w:p>
    <w:p w14:paraId="0FE3164C" w14:textId="77777777" w:rsidR="000E274D" w:rsidRDefault="000E274D" w:rsidP="00AE6656"/>
    <w:p w14:paraId="15DB27F8" w14:textId="77777777" w:rsidR="000E274D" w:rsidRDefault="000E274D" w:rsidP="00AE6656"/>
    <w:p w14:paraId="13991E14" w14:textId="77777777" w:rsidR="000E274D" w:rsidRDefault="000E274D" w:rsidP="00AE6656"/>
  </w:footnote>
  <w:footnote w:type="continuationSeparator" w:id="0">
    <w:p w14:paraId="142EC821" w14:textId="77777777" w:rsidR="000E274D" w:rsidRDefault="000E274D" w:rsidP="00AE6656">
      <w:r>
        <w:continuationSeparator/>
      </w:r>
    </w:p>
    <w:p w14:paraId="61C060A5" w14:textId="77777777" w:rsidR="000E274D" w:rsidRDefault="000E274D" w:rsidP="00AE6656"/>
    <w:p w14:paraId="2C487ECC" w14:textId="77777777" w:rsidR="000E274D" w:rsidRDefault="000E274D" w:rsidP="00AE6656"/>
    <w:p w14:paraId="74351E50" w14:textId="77777777" w:rsidR="000E274D" w:rsidRDefault="000E274D" w:rsidP="00AE6656"/>
  </w:footnote>
  <w:footnote w:type="continuationNotice" w:id="1">
    <w:p w14:paraId="00B5CC51" w14:textId="77777777" w:rsidR="000E274D" w:rsidRDefault="000E274D" w:rsidP="00AE6656"/>
    <w:p w14:paraId="596BF838" w14:textId="77777777" w:rsidR="000E274D" w:rsidRDefault="000E274D" w:rsidP="00AE6656"/>
    <w:p w14:paraId="1E1E7069" w14:textId="77777777" w:rsidR="000E274D" w:rsidRDefault="000E274D" w:rsidP="00AE6656"/>
    <w:p w14:paraId="10CB38F3" w14:textId="77777777" w:rsidR="000E274D" w:rsidRDefault="000E274D" w:rsidP="00AE66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D893D" w14:textId="38A842BF" w:rsidR="00711096" w:rsidRDefault="00711096" w:rsidP="00AE6656">
    <w:pPr>
      <w:pStyle w:val="Header"/>
      <w:spacing w:after="240"/>
    </w:pPr>
  </w:p>
  <w:p w14:paraId="62A4491D" w14:textId="77777777" w:rsidR="00AF3CA2" w:rsidRDefault="00AF3CA2" w:rsidP="00AE6656"/>
  <w:p w14:paraId="69A8C6AA" w14:textId="77777777" w:rsidR="00AF3CA2" w:rsidRDefault="00AF3CA2" w:rsidP="00AE6656"/>
  <w:p w14:paraId="70DB3F4D" w14:textId="77777777" w:rsidR="00911209" w:rsidRDefault="00911209" w:rsidP="00AE66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CEDB2" w14:textId="77777777" w:rsidR="00D62B80" w:rsidRDefault="00D62B80">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FB0F2" w14:textId="66905D8F" w:rsidR="00711096" w:rsidRDefault="00C87997" w:rsidP="00AE6656">
    <w:pPr>
      <w:pStyle w:val="Header"/>
      <w:spacing w:after="240"/>
    </w:pPr>
    <w:r>
      <w:rPr>
        <w:noProof/>
      </w:rPr>
      <w:drawing>
        <wp:anchor distT="0" distB="0" distL="114300" distR="114300" simplePos="0" relativeHeight="251661312" behindDoc="0" locked="0" layoutInCell="1" allowOverlap="1" wp14:anchorId="4B622CF6" wp14:editId="64D55AC5">
          <wp:simplePos x="0" y="0"/>
          <wp:positionH relativeFrom="margin">
            <wp:align>right</wp:align>
          </wp:positionH>
          <wp:positionV relativeFrom="margin">
            <wp:align>top</wp:align>
          </wp:positionV>
          <wp:extent cx="2289810" cy="1011555"/>
          <wp:effectExtent l="0" t="0" r="0" b="0"/>
          <wp:wrapNone/>
          <wp:docPr id="10260599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5999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1011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BB9"/>
    <w:multiLevelType w:val="hybridMultilevel"/>
    <w:tmpl w:val="54A0F94A"/>
    <w:lvl w:ilvl="0" w:tplc="4B684256">
      <w:start w:val="1"/>
      <w:numFmt w:val="bullet"/>
      <w:pStyle w:val="ListParagraph"/>
      <w:lvlText w:val=""/>
      <w:lvlJc w:val="left"/>
      <w:pPr>
        <w:ind w:left="720" w:hanging="360"/>
      </w:pPr>
      <w:rPr>
        <w:rFonts w:ascii="Symbol" w:hAnsi="Symbol" w:hint="default"/>
        <w:b w:val="0"/>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70739"/>
    <w:multiLevelType w:val="hybridMultilevel"/>
    <w:tmpl w:val="7E7846A8"/>
    <w:lvl w:ilvl="0" w:tplc="28547C4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F3305"/>
    <w:multiLevelType w:val="hybridMultilevel"/>
    <w:tmpl w:val="8790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F3146"/>
    <w:multiLevelType w:val="multilevel"/>
    <w:tmpl w:val="D3C81552"/>
    <w:lvl w:ilvl="0">
      <w:start w:val="1"/>
      <w:numFmt w:val="decimal"/>
      <w:lvlText w:val="%1."/>
      <w:lvlJc w:val="left"/>
      <w:pPr>
        <w:ind w:left="454" w:hanging="454"/>
      </w:pPr>
      <w:rPr>
        <w:rFonts w:hint="default"/>
      </w:rPr>
    </w:lvl>
    <w:lvl w:ilvl="1">
      <w:start w:val="2"/>
      <w:numFmt w:val="decimal"/>
      <w:isLgl/>
      <w:lvlText w:val="%1.%2"/>
      <w:lvlJc w:val="left"/>
      <w:pPr>
        <w:ind w:left="567" w:hanging="567"/>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3FE22AA"/>
    <w:multiLevelType w:val="multilevel"/>
    <w:tmpl w:val="A1BAE03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88B2EF9"/>
    <w:multiLevelType w:val="hybridMultilevel"/>
    <w:tmpl w:val="9E2C696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AB7BEC"/>
    <w:multiLevelType w:val="multilevel"/>
    <w:tmpl w:val="C4FCA52A"/>
    <w:lvl w:ilvl="0">
      <w:start w:val="1"/>
      <w:numFmt w:val="decimal"/>
      <w:pStyle w:val="Heading1"/>
      <w:lvlText w:val="%1."/>
      <w:lvlJc w:val="left"/>
      <w:pPr>
        <w:ind w:left="454" w:hanging="454"/>
      </w:pPr>
      <w:rPr>
        <w:rFonts w:hint="default"/>
        <w:color w:val="auto"/>
      </w:rPr>
    </w:lvl>
    <w:lvl w:ilvl="1">
      <w:start w:val="1"/>
      <w:numFmt w:val="decimal"/>
      <w:pStyle w:val="Heading2"/>
      <w:lvlText w:val="%1.%2"/>
      <w:lvlJc w:val="left"/>
      <w:pPr>
        <w:ind w:left="454" w:hanging="454"/>
      </w:pPr>
      <w:rPr>
        <w:rFonts w:hint="default"/>
        <w:color w:val="auto"/>
      </w:rPr>
    </w:lvl>
    <w:lvl w:ilvl="2">
      <w:start w:val="1"/>
      <w:numFmt w:val="lowerRoman"/>
      <w:pStyle w:val="Heading3"/>
      <w:lvlText w:val="%3."/>
      <w:lvlJc w:val="right"/>
      <w:pPr>
        <w:ind w:left="360" w:hanging="36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1171681"/>
    <w:multiLevelType w:val="multilevel"/>
    <w:tmpl w:val="48AA1160"/>
    <w:lvl w:ilvl="0">
      <w:start w:val="1"/>
      <w:numFmt w:val="decimal"/>
      <w:lvlText w:val="%1."/>
      <w:lvlJc w:val="left"/>
      <w:pPr>
        <w:ind w:left="1070" w:hanging="360"/>
      </w:pPr>
      <w:rPr>
        <w:rFonts w:ascii="GillSans" w:eastAsia="Calibri" w:hAnsi="GillSans" w:cs="GillSans"/>
      </w:rPr>
    </w:lvl>
    <w:lvl w:ilvl="1">
      <w:start w:val="3"/>
      <w:numFmt w:val="decimal"/>
      <w:isLgl/>
      <w:lvlText w:val="%1.%2"/>
      <w:lvlJc w:val="left"/>
      <w:pPr>
        <w:ind w:left="1110" w:hanging="40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8" w15:restartNumberingAfterBreak="0">
    <w:nsid w:val="21FF6B22"/>
    <w:multiLevelType w:val="hybridMultilevel"/>
    <w:tmpl w:val="28B65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E2AC6"/>
    <w:multiLevelType w:val="hybridMultilevel"/>
    <w:tmpl w:val="39281274"/>
    <w:lvl w:ilvl="0" w:tplc="4CD606AE">
      <w:start w:val="1"/>
      <w:numFmt w:val="decimal"/>
      <w:lvlText w:val="%1."/>
      <w:lvlJc w:val="left"/>
      <w:pPr>
        <w:ind w:left="720" w:hanging="360"/>
      </w:pPr>
      <w:rPr>
        <w:b w:val="0"/>
        <w:color w:val="auto"/>
      </w:rPr>
    </w:lvl>
    <w:lvl w:ilvl="1" w:tplc="BA3C2670">
      <w:start w:val="8"/>
      <w:numFmt w:val="bullet"/>
      <w:lvlText w:val="•"/>
      <w:lvlJc w:val="left"/>
      <w:pPr>
        <w:ind w:left="1440" w:hanging="360"/>
      </w:pPr>
      <w:rPr>
        <w:rFonts w:ascii="Arial" w:eastAsia="Times New Roman" w:hAnsi="Arial" w:cs="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D5B390E"/>
    <w:multiLevelType w:val="hybridMultilevel"/>
    <w:tmpl w:val="14B0113C"/>
    <w:lvl w:ilvl="0" w:tplc="C87CEED0">
      <w:start w:val="1"/>
      <w:numFmt w:val="decimal"/>
      <w:lvlText w:val="%1."/>
      <w:lvlJc w:val="left"/>
      <w:pPr>
        <w:ind w:left="1070" w:hanging="360"/>
      </w:pPr>
      <w:rPr>
        <w:rFonts w:ascii="GillSans" w:eastAsia="Calibri" w:hAnsi="GillSans" w:cs="GillSan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673231"/>
    <w:multiLevelType w:val="hybridMultilevel"/>
    <w:tmpl w:val="86A294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4874088"/>
    <w:multiLevelType w:val="hybridMultilevel"/>
    <w:tmpl w:val="39920184"/>
    <w:lvl w:ilvl="0" w:tplc="46020684">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FF416CD"/>
    <w:multiLevelType w:val="hybridMultilevel"/>
    <w:tmpl w:val="18109D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4225666"/>
    <w:multiLevelType w:val="multilevel"/>
    <w:tmpl w:val="0809001F"/>
    <w:lvl w:ilvl="0">
      <w:start w:val="1"/>
      <w:numFmt w:val="decimal"/>
      <w:lvlText w:val="%1."/>
      <w:lvlJc w:val="left"/>
      <w:pPr>
        <w:ind w:left="2345" w:hanging="360"/>
      </w:pPr>
      <w:rPr>
        <w:b w:val="0"/>
        <w:color w:val="auto"/>
      </w:rPr>
    </w:lvl>
    <w:lvl w:ilvl="1">
      <w:start w:val="1"/>
      <w:numFmt w:val="decimal"/>
      <w:lvlText w:val="%1.%2."/>
      <w:lvlJc w:val="left"/>
      <w:pPr>
        <w:ind w:left="2777" w:hanging="432"/>
      </w:pPr>
    </w:lvl>
    <w:lvl w:ilvl="2">
      <w:start w:val="1"/>
      <w:numFmt w:val="decimal"/>
      <w:lvlText w:val="%1.%2.%3."/>
      <w:lvlJc w:val="left"/>
      <w:pPr>
        <w:ind w:left="3209" w:hanging="504"/>
      </w:pPr>
    </w:lvl>
    <w:lvl w:ilvl="3">
      <w:start w:val="1"/>
      <w:numFmt w:val="decimal"/>
      <w:lvlText w:val="%1.%2.%3.%4."/>
      <w:lvlJc w:val="left"/>
      <w:pPr>
        <w:ind w:left="3713" w:hanging="648"/>
      </w:pPr>
    </w:lvl>
    <w:lvl w:ilvl="4">
      <w:start w:val="1"/>
      <w:numFmt w:val="decimal"/>
      <w:lvlText w:val="%1.%2.%3.%4.%5."/>
      <w:lvlJc w:val="left"/>
      <w:pPr>
        <w:ind w:left="4217" w:hanging="792"/>
      </w:pPr>
    </w:lvl>
    <w:lvl w:ilvl="5">
      <w:start w:val="1"/>
      <w:numFmt w:val="decimal"/>
      <w:lvlText w:val="%1.%2.%3.%4.%5.%6."/>
      <w:lvlJc w:val="left"/>
      <w:pPr>
        <w:ind w:left="4721" w:hanging="936"/>
      </w:pPr>
    </w:lvl>
    <w:lvl w:ilvl="6">
      <w:start w:val="1"/>
      <w:numFmt w:val="decimal"/>
      <w:lvlText w:val="%1.%2.%3.%4.%5.%6.%7."/>
      <w:lvlJc w:val="left"/>
      <w:pPr>
        <w:ind w:left="5225" w:hanging="1080"/>
      </w:pPr>
    </w:lvl>
    <w:lvl w:ilvl="7">
      <w:start w:val="1"/>
      <w:numFmt w:val="decimal"/>
      <w:lvlText w:val="%1.%2.%3.%4.%5.%6.%7.%8."/>
      <w:lvlJc w:val="left"/>
      <w:pPr>
        <w:ind w:left="5729" w:hanging="1224"/>
      </w:pPr>
    </w:lvl>
    <w:lvl w:ilvl="8">
      <w:start w:val="1"/>
      <w:numFmt w:val="decimal"/>
      <w:lvlText w:val="%1.%2.%3.%4.%5.%6.%7.%8.%9."/>
      <w:lvlJc w:val="left"/>
      <w:pPr>
        <w:ind w:left="6305" w:hanging="1440"/>
      </w:pPr>
    </w:lvl>
  </w:abstractNum>
  <w:abstractNum w:abstractNumId="15" w15:restartNumberingAfterBreak="0">
    <w:nsid w:val="56C62267"/>
    <w:multiLevelType w:val="hybridMultilevel"/>
    <w:tmpl w:val="FDCAB9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DC651B4"/>
    <w:multiLevelType w:val="multilevel"/>
    <w:tmpl w:val="57E461E8"/>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7A08BA"/>
    <w:multiLevelType w:val="hybridMultilevel"/>
    <w:tmpl w:val="AFBC4E4E"/>
    <w:lvl w:ilvl="0" w:tplc="90DCDE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B6719"/>
    <w:multiLevelType w:val="hybridMultilevel"/>
    <w:tmpl w:val="FA484122"/>
    <w:lvl w:ilvl="0" w:tplc="F54E6A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6A7395"/>
    <w:multiLevelType w:val="hybridMultilevel"/>
    <w:tmpl w:val="D6D68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3A36D4"/>
    <w:multiLevelType w:val="hybridMultilevel"/>
    <w:tmpl w:val="E598A28C"/>
    <w:lvl w:ilvl="0" w:tplc="659436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AB2962"/>
    <w:multiLevelType w:val="hybridMultilevel"/>
    <w:tmpl w:val="A246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0128282">
    <w:abstractNumId w:val="14"/>
  </w:num>
  <w:num w:numId="2" w16cid:durableId="475225896">
    <w:abstractNumId w:val="7"/>
  </w:num>
  <w:num w:numId="3" w16cid:durableId="818837636">
    <w:abstractNumId w:val="13"/>
  </w:num>
  <w:num w:numId="4" w16cid:durableId="663167082">
    <w:abstractNumId w:val="2"/>
  </w:num>
  <w:num w:numId="5" w16cid:durableId="1564439977">
    <w:abstractNumId w:val="12"/>
  </w:num>
  <w:num w:numId="6" w16cid:durableId="1282414380">
    <w:abstractNumId w:val="11"/>
  </w:num>
  <w:num w:numId="7" w16cid:durableId="2064405747">
    <w:abstractNumId w:val="1"/>
  </w:num>
  <w:num w:numId="8" w16cid:durableId="671688146">
    <w:abstractNumId w:val="10"/>
  </w:num>
  <w:num w:numId="9" w16cid:durableId="1904756921">
    <w:abstractNumId w:val="21"/>
  </w:num>
  <w:num w:numId="10" w16cid:durableId="310065992">
    <w:abstractNumId w:val="4"/>
  </w:num>
  <w:num w:numId="11" w16cid:durableId="735974281">
    <w:abstractNumId w:val="8"/>
  </w:num>
  <w:num w:numId="12" w16cid:durableId="345718590">
    <w:abstractNumId w:val="0"/>
  </w:num>
  <w:num w:numId="13" w16cid:durableId="868109640">
    <w:abstractNumId w:val="3"/>
  </w:num>
  <w:num w:numId="14" w16cid:durableId="1616709774">
    <w:abstractNumId w:val="17"/>
  </w:num>
  <w:num w:numId="15" w16cid:durableId="859927160">
    <w:abstractNumId w:val="20"/>
  </w:num>
  <w:num w:numId="16" w16cid:durableId="1373462370">
    <w:abstractNumId w:val="19"/>
  </w:num>
  <w:num w:numId="17" w16cid:durableId="660355418">
    <w:abstractNumId w:val="15"/>
  </w:num>
  <w:num w:numId="18" w16cid:durableId="1824105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6541874">
    <w:abstractNumId w:val="16"/>
  </w:num>
  <w:num w:numId="20" w16cid:durableId="1580627282">
    <w:abstractNumId w:val="3"/>
    <w:lvlOverride w:ilvl="0">
      <w:lvl w:ilvl="0">
        <w:start w:val="1"/>
        <w:numFmt w:val="decimal"/>
        <w:lvlText w:val="%1."/>
        <w:lvlJc w:val="left"/>
        <w:pPr>
          <w:ind w:left="454" w:hanging="454"/>
        </w:pPr>
        <w:rPr>
          <w:rFonts w:hint="default"/>
        </w:rPr>
      </w:lvl>
    </w:lvlOverride>
    <w:lvlOverride w:ilvl="1">
      <w:lvl w:ilvl="1">
        <w:start w:val="2"/>
        <w:numFmt w:val="decimal"/>
        <w:isLgl/>
        <w:lvlText w:val="%1.%2"/>
        <w:lvlJc w:val="left"/>
        <w:pPr>
          <w:ind w:left="454" w:hanging="454"/>
        </w:pPr>
        <w:rPr>
          <w:rFonts w:hint="default"/>
          <w:sz w:val="22"/>
          <w:szCs w:val="22"/>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1800" w:hanging="1800"/>
        </w:pPr>
        <w:rPr>
          <w:rFonts w:hint="default"/>
        </w:rPr>
      </w:lvl>
    </w:lvlOverride>
  </w:num>
  <w:num w:numId="21" w16cid:durableId="1203324422">
    <w:abstractNumId w:val="6"/>
  </w:num>
  <w:num w:numId="22" w16cid:durableId="1038967508">
    <w:abstractNumId w:val="5"/>
  </w:num>
  <w:num w:numId="23" w16cid:durableId="208090626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cumentProtection w:edit="readOnly" w:enforcement="1" w:cryptProviderType="rsaAES" w:cryptAlgorithmClass="hash" w:cryptAlgorithmType="typeAny" w:cryptAlgorithmSid="14" w:cryptSpinCount="100000" w:hash="XJed8wR7155UWNm1eK3MmJfTdYA4gDlF7iM5ZACOharSS6ntiefpWpXH6yv43i1mU0cBh1lhSZxmr2R/7nFtww==" w:salt="2txVUaJYGbUEECQVWPJE0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B9"/>
    <w:rsid w:val="00014D71"/>
    <w:rsid w:val="00015C62"/>
    <w:rsid w:val="000331E2"/>
    <w:rsid w:val="0004545A"/>
    <w:rsid w:val="00047413"/>
    <w:rsid w:val="000521E2"/>
    <w:rsid w:val="00056B7B"/>
    <w:rsid w:val="000627F0"/>
    <w:rsid w:val="00063F62"/>
    <w:rsid w:val="00065508"/>
    <w:rsid w:val="000655A3"/>
    <w:rsid w:val="000701D0"/>
    <w:rsid w:val="00074516"/>
    <w:rsid w:val="000823AF"/>
    <w:rsid w:val="00082426"/>
    <w:rsid w:val="00082962"/>
    <w:rsid w:val="00083D63"/>
    <w:rsid w:val="0009285F"/>
    <w:rsid w:val="00092D89"/>
    <w:rsid w:val="0009799E"/>
    <w:rsid w:val="000A5E28"/>
    <w:rsid w:val="000B415C"/>
    <w:rsid w:val="000B732E"/>
    <w:rsid w:val="000B7E54"/>
    <w:rsid w:val="000C0B53"/>
    <w:rsid w:val="000C33BD"/>
    <w:rsid w:val="000D1484"/>
    <w:rsid w:val="000E1AB5"/>
    <w:rsid w:val="000E274D"/>
    <w:rsid w:val="000E6DDE"/>
    <w:rsid w:val="000F1D54"/>
    <w:rsid w:val="001177CB"/>
    <w:rsid w:val="001201E7"/>
    <w:rsid w:val="00130341"/>
    <w:rsid w:val="00131017"/>
    <w:rsid w:val="001311C4"/>
    <w:rsid w:val="0013436A"/>
    <w:rsid w:val="00134D03"/>
    <w:rsid w:val="001435B3"/>
    <w:rsid w:val="00143EF6"/>
    <w:rsid w:val="00143FC2"/>
    <w:rsid w:val="00145737"/>
    <w:rsid w:val="00151046"/>
    <w:rsid w:val="00151BC5"/>
    <w:rsid w:val="00151F6C"/>
    <w:rsid w:val="00157536"/>
    <w:rsid w:val="00170A48"/>
    <w:rsid w:val="0017195F"/>
    <w:rsid w:val="00193E90"/>
    <w:rsid w:val="00194037"/>
    <w:rsid w:val="001949C7"/>
    <w:rsid w:val="001A5563"/>
    <w:rsid w:val="001B1D3D"/>
    <w:rsid w:val="001C00BE"/>
    <w:rsid w:val="001C606A"/>
    <w:rsid w:val="001C7FA2"/>
    <w:rsid w:val="001D0592"/>
    <w:rsid w:val="001E395E"/>
    <w:rsid w:val="001E4B4E"/>
    <w:rsid w:val="001F425B"/>
    <w:rsid w:val="001F5D4F"/>
    <w:rsid w:val="001F5FDB"/>
    <w:rsid w:val="001F6DEB"/>
    <w:rsid w:val="00207954"/>
    <w:rsid w:val="002110D8"/>
    <w:rsid w:val="002115CE"/>
    <w:rsid w:val="002124B7"/>
    <w:rsid w:val="002132EA"/>
    <w:rsid w:val="00220334"/>
    <w:rsid w:val="00224806"/>
    <w:rsid w:val="002251B8"/>
    <w:rsid w:val="002315FF"/>
    <w:rsid w:val="00233B30"/>
    <w:rsid w:val="00236BDE"/>
    <w:rsid w:val="002438BC"/>
    <w:rsid w:val="00245C49"/>
    <w:rsid w:val="002471AC"/>
    <w:rsid w:val="002539C5"/>
    <w:rsid w:val="002655B1"/>
    <w:rsid w:val="002660D8"/>
    <w:rsid w:val="002731CF"/>
    <w:rsid w:val="0028718E"/>
    <w:rsid w:val="0029259D"/>
    <w:rsid w:val="00295038"/>
    <w:rsid w:val="00297683"/>
    <w:rsid w:val="002977BD"/>
    <w:rsid w:val="002A1438"/>
    <w:rsid w:val="002A3709"/>
    <w:rsid w:val="002B1A59"/>
    <w:rsid w:val="002B4757"/>
    <w:rsid w:val="002C00F0"/>
    <w:rsid w:val="002C13BB"/>
    <w:rsid w:val="002C2C2A"/>
    <w:rsid w:val="002C3FDA"/>
    <w:rsid w:val="002D031E"/>
    <w:rsid w:val="002E0406"/>
    <w:rsid w:val="002F0A75"/>
    <w:rsid w:val="002F6642"/>
    <w:rsid w:val="003075AB"/>
    <w:rsid w:val="003124C0"/>
    <w:rsid w:val="0032326B"/>
    <w:rsid w:val="0032648C"/>
    <w:rsid w:val="003265A0"/>
    <w:rsid w:val="0032715D"/>
    <w:rsid w:val="00332495"/>
    <w:rsid w:val="00346A0D"/>
    <w:rsid w:val="00350719"/>
    <w:rsid w:val="00350AB5"/>
    <w:rsid w:val="00355CD1"/>
    <w:rsid w:val="003574B2"/>
    <w:rsid w:val="00360885"/>
    <w:rsid w:val="00364767"/>
    <w:rsid w:val="0037363B"/>
    <w:rsid w:val="00377694"/>
    <w:rsid w:val="00381C48"/>
    <w:rsid w:val="00383D04"/>
    <w:rsid w:val="00385642"/>
    <w:rsid w:val="003859D1"/>
    <w:rsid w:val="00391F31"/>
    <w:rsid w:val="00396E46"/>
    <w:rsid w:val="003A24E4"/>
    <w:rsid w:val="003A26EF"/>
    <w:rsid w:val="003B2007"/>
    <w:rsid w:val="003C0822"/>
    <w:rsid w:val="003C33C9"/>
    <w:rsid w:val="003C7882"/>
    <w:rsid w:val="003D5DF4"/>
    <w:rsid w:val="003E111C"/>
    <w:rsid w:val="003E14A7"/>
    <w:rsid w:val="003E2413"/>
    <w:rsid w:val="00401502"/>
    <w:rsid w:val="00412243"/>
    <w:rsid w:val="004133CF"/>
    <w:rsid w:val="00415797"/>
    <w:rsid w:val="00415880"/>
    <w:rsid w:val="0041634E"/>
    <w:rsid w:val="0041734B"/>
    <w:rsid w:val="00421AFB"/>
    <w:rsid w:val="0042555B"/>
    <w:rsid w:val="00430CE0"/>
    <w:rsid w:val="00432491"/>
    <w:rsid w:val="004404F8"/>
    <w:rsid w:val="0044328F"/>
    <w:rsid w:val="004449D6"/>
    <w:rsid w:val="0044595A"/>
    <w:rsid w:val="00445DEF"/>
    <w:rsid w:val="004505B4"/>
    <w:rsid w:val="00450AD1"/>
    <w:rsid w:val="00453A0B"/>
    <w:rsid w:val="00453CBA"/>
    <w:rsid w:val="00460539"/>
    <w:rsid w:val="00461479"/>
    <w:rsid w:val="0047233B"/>
    <w:rsid w:val="00472598"/>
    <w:rsid w:val="00474846"/>
    <w:rsid w:val="004862CE"/>
    <w:rsid w:val="004907F7"/>
    <w:rsid w:val="00491525"/>
    <w:rsid w:val="00492DC1"/>
    <w:rsid w:val="0049304C"/>
    <w:rsid w:val="00494945"/>
    <w:rsid w:val="004954EC"/>
    <w:rsid w:val="004A1B4D"/>
    <w:rsid w:val="004B2914"/>
    <w:rsid w:val="004B707E"/>
    <w:rsid w:val="004D0D8B"/>
    <w:rsid w:val="004E2D2F"/>
    <w:rsid w:val="004F45A4"/>
    <w:rsid w:val="004F6020"/>
    <w:rsid w:val="004F6321"/>
    <w:rsid w:val="00501F1A"/>
    <w:rsid w:val="00505B01"/>
    <w:rsid w:val="0051761B"/>
    <w:rsid w:val="00521EB3"/>
    <w:rsid w:val="00526F46"/>
    <w:rsid w:val="00527C29"/>
    <w:rsid w:val="00551303"/>
    <w:rsid w:val="0055384C"/>
    <w:rsid w:val="0055599B"/>
    <w:rsid w:val="00555EA3"/>
    <w:rsid w:val="00557EDB"/>
    <w:rsid w:val="00560E30"/>
    <w:rsid w:val="00561573"/>
    <w:rsid w:val="00576857"/>
    <w:rsid w:val="00590160"/>
    <w:rsid w:val="00590876"/>
    <w:rsid w:val="0059091A"/>
    <w:rsid w:val="00591688"/>
    <w:rsid w:val="00591719"/>
    <w:rsid w:val="0059243C"/>
    <w:rsid w:val="00594108"/>
    <w:rsid w:val="00597409"/>
    <w:rsid w:val="005A07FC"/>
    <w:rsid w:val="005A0E47"/>
    <w:rsid w:val="005A3C95"/>
    <w:rsid w:val="005A4380"/>
    <w:rsid w:val="005B2A0A"/>
    <w:rsid w:val="005B3F6E"/>
    <w:rsid w:val="005C04EF"/>
    <w:rsid w:val="005C7389"/>
    <w:rsid w:val="005D049D"/>
    <w:rsid w:val="005D4DE9"/>
    <w:rsid w:val="005D6435"/>
    <w:rsid w:val="005D65E7"/>
    <w:rsid w:val="00607EC0"/>
    <w:rsid w:val="0061108E"/>
    <w:rsid w:val="00612B3C"/>
    <w:rsid w:val="00620259"/>
    <w:rsid w:val="00620ED8"/>
    <w:rsid w:val="00622804"/>
    <w:rsid w:val="006228D5"/>
    <w:rsid w:val="00624249"/>
    <w:rsid w:val="0062688F"/>
    <w:rsid w:val="00627FD9"/>
    <w:rsid w:val="00630F62"/>
    <w:rsid w:val="00632A16"/>
    <w:rsid w:val="006409A1"/>
    <w:rsid w:val="00641667"/>
    <w:rsid w:val="0064369C"/>
    <w:rsid w:val="00644EC3"/>
    <w:rsid w:val="00653A66"/>
    <w:rsid w:val="00654468"/>
    <w:rsid w:val="00660004"/>
    <w:rsid w:val="00661A18"/>
    <w:rsid w:val="00667887"/>
    <w:rsid w:val="006727D5"/>
    <w:rsid w:val="00686539"/>
    <w:rsid w:val="006917FF"/>
    <w:rsid w:val="006949BB"/>
    <w:rsid w:val="006A0561"/>
    <w:rsid w:val="006A1922"/>
    <w:rsid w:val="006A5531"/>
    <w:rsid w:val="006A788D"/>
    <w:rsid w:val="006A7A3C"/>
    <w:rsid w:val="006B59FC"/>
    <w:rsid w:val="006C21CE"/>
    <w:rsid w:val="006C6384"/>
    <w:rsid w:val="006C6805"/>
    <w:rsid w:val="006D25E4"/>
    <w:rsid w:val="006D313C"/>
    <w:rsid w:val="006D3147"/>
    <w:rsid w:val="006E20D7"/>
    <w:rsid w:val="006F3000"/>
    <w:rsid w:val="006F49B5"/>
    <w:rsid w:val="00711096"/>
    <w:rsid w:val="00716B02"/>
    <w:rsid w:val="00717809"/>
    <w:rsid w:val="007204E7"/>
    <w:rsid w:val="00726D0A"/>
    <w:rsid w:val="00727AB4"/>
    <w:rsid w:val="00741020"/>
    <w:rsid w:val="00744438"/>
    <w:rsid w:val="00750111"/>
    <w:rsid w:val="00750411"/>
    <w:rsid w:val="0075070A"/>
    <w:rsid w:val="00751C13"/>
    <w:rsid w:val="00754E5D"/>
    <w:rsid w:val="0075712C"/>
    <w:rsid w:val="00767910"/>
    <w:rsid w:val="00784CF9"/>
    <w:rsid w:val="00793076"/>
    <w:rsid w:val="007B4404"/>
    <w:rsid w:val="007B5970"/>
    <w:rsid w:val="007C5DD0"/>
    <w:rsid w:val="007C7CF8"/>
    <w:rsid w:val="007D08B3"/>
    <w:rsid w:val="007D107E"/>
    <w:rsid w:val="007E0B41"/>
    <w:rsid w:val="007E1C9D"/>
    <w:rsid w:val="007E322D"/>
    <w:rsid w:val="007F0ABC"/>
    <w:rsid w:val="007F4743"/>
    <w:rsid w:val="007F6C37"/>
    <w:rsid w:val="008062A2"/>
    <w:rsid w:val="00806821"/>
    <w:rsid w:val="00811FB9"/>
    <w:rsid w:val="008152FE"/>
    <w:rsid w:val="00817407"/>
    <w:rsid w:val="00817AC7"/>
    <w:rsid w:val="008321D4"/>
    <w:rsid w:val="00833BFA"/>
    <w:rsid w:val="00834749"/>
    <w:rsid w:val="00840732"/>
    <w:rsid w:val="00843090"/>
    <w:rsid w:val="00847294"/>
    <w:rsid w:val="00847AD2"/>
    <w:rsid w:val="00847E37"/>
    <w:rsid w:val="0085508A"/>
    <w:rsid w:val="008565CF"/>
    <w:rsid w:val="00860926"/>
    <w:rsid w:val="00865F0C"/>
    <w:rsid w:val="00867B99"/>
    <w:rsid w:val="00871E0E"/>
    <w:rsid w:val="008853C1"/>
    <w:rsid w:val="008855A4"/>
    <w:rsid w:val="008874FA"/>
    <w:rsid w:val="008919B8"/>
    <w:rsid w:val="00894BE3"/>
    <w:rsid w:val="0089681F"/>
    <w:rsid w:val="008A0DDD"/>
    <w:rsid w:val="008A5082"/>
    <w:rsid w:val="008B34B0"/>
    <w:rsid w:val="008B3FC5"/>
    <w:rsid w:val="008C3021"/>
    <w:rsid w:val="008C41AB"/>
    <w:rsid w:val="008C6220"/>
    <w:rsid w:val="008D2342"/>
    <w:rsid w:val="008D4B15"/>
    <w:rsid w:val="008D513F"/>
    <w:rsid w:val="008E7B6F"/>
    <w:rsid w:val="00905B20"/>
    <w:rsid w:val="009077E6"/>
    <w:rsid w:val="00911209"/>
    <w:rsid w:val="00913B49"/>
    <w:rsid w:val="00914DED"/>
    <w:rsid w:val="0091696D"/>
    <w:rsid w:val="009203B9"/>
    <w:rsid w:val="00932F89"/>
    <w:rsid w:val="009330E2"/>
    <w:rsid w:val="009355E7"/>
    <w:rsid w:val="00941710"/>
    <w:rsid w:val="00944CE9"/>
    <w:rsid w:val="00957342"/>
    <w:rsid w:val="00963D37"/>
    <w:rsid w:val="00974DBD"/>
    <w:rsid w:val="0098117C"/>
    <w:rsid w:val="00983C79"/>
    <w:rsid w:val="009A0732"/>
    <w:rsid w:val="009A0F29"/>
    <w:rsid w:val="009B0D17"/>
    <w:rsid w:val="009B174A"/>
    <w:rsid w:val="009B26BE"/>
    <w:rsid w:val="009B6034"/>
    <w:rsid w:val="009C075A"/>
    <w:rsid w:val="009C3089"/>
    <w:rsid w:val="009D2168"/>
    <w:rsid w:val="009D71A1"/>
    <w:rsid w:val="009E0858"/>
    <w:rsid w:val="009E0FB8"/>
    <w:rsid w:val="009E21DF"/>
    <w:rsid w:val="00A069F5"/>
    <w:rsid w:val="00A06E24"/>
    <w:rsid w:val="00A07DC2"/>
    <w:rsid w:val="00A10194"/>
    <w:rsid w:val="00A11785"/>
    <w:rsid w:val="00A12A5D"/>
    <w:rsid w:val="00A23927"/>
    <w:rsid w:val="00A26232"/>
    <w:rsid w:val="00A26CE8"/>
    <w:rsid w:val="00A30E7C"/>
    <w:rsid w:val="00A37447"/>
    <w:rsid w:val="00A44EC1"/>
    <w:rsid w:val="00A717E2"/>
    <w:rsid w:val="00A73830"/>
    <w:rsid w:val="00A82485"/>
    <w:rsid w:val="00A945CF"/>
    <w:rsid w:val="00A963B3"/>
    <w:rsid w:val="00AA1E89"/>
    <w:rsid w:val="00AA21D6"/>
    <w:rsid w:val="00AA6DAC"/>
    <w:rsid w:val="00AB3078"/>
    <w:rsid w:val="00AB4A0A"/>
    <w:rsid w:val="00AC6F1D"/>
    <w:rsid w:val="00AC72B6"/>
    <w:rsid w:val="00AD5968"/>
    <w:rsid w:val="00AE2DA5"/>
    <w:rsid w:val="00AE5154"/>
    <w:rsid w:val="00AE6656"/>
    <w:rsid w:val="00AF1E5F"/>
    <w:rsid w:val="00AF3CA2"/>
    <w:rsid w:val="00B00B1A"/>
    <w:rsid w:val="00B01E02"/>
    <w:rsid w:val="00B2466C"/>
    <w:rsid w:val="00B25E25"/>
    <w:rsid w:val="00B37D1C"/>
    <w:rsid w:val="00B42BE4"/>
    <w:rsid w:val="00B43EDA"/>
    <w:rsid w:val="00B4504E"/>
    <w:rsid w:val="00B4590E"/>
    <w:rsid w:val="00B5397E"/>
    <w:rsid w:val="00B601BF"/>
    <w:rsid w:val="00B60A98"/>
    <w:rsid w:val="00B64462"/>
    <w:rsid w:val="00B64F51"/>
    <w:rsid w:val="00B70073"/>
    <w:rsid w:val="00B7017C"/>
    <w:rsid w:val="00B701FA"/>
    <w:rsid w:val="00B72230"/>
    <w:rsid w:val="00B750F8"/>
    <w:rsid w:val="00B83869"/>
    <w:rsid w:val="00B92500"/>
    <w:rsid w:val="00B931A2"/>
    <w:rsid w:val="00B93525"/>
    <w:rsid w:val="00B940F5"/>
    <w:rsid w:val="00B95018"/>
    <w:rsid w:val="00BA2016"/>
    <w:rsid w:val="00BA2A36"/>
    <w:rsid w:val="00BA4600"/>
    <w:rsid w:val="00BA6DCC"/>
    <w:rsid w:val="00BB0472"/>
    <w:rsid w:val="00BC258B"/>
    <w:rsid w:val="00BC3E73"/>
    <w:rsid w:val="00BD04D4"/>
    <w:rsid w:val="00BD4D25"/>
    <w:rsid w:val="00BD637E"/>
    <w:rsid w:val="00BD77DF"/>
    <w:rsid w:val="00BE1777"/>
    <w:rsid w:val="00BF0296"/>
    <w:rsid w:val="00BF2576"/>
    <w:rsid w:val="00BF2A76"/>
    <w:rsid w:val="00BF3D48"/>
    <w:rsid w:val="00BF727D"/>
    <w:rsid w:val="00C02867"/>
    <w:rsid w:val="00C21E54"/>
    <w:rsid w:val="00C26EAE"/>
    <w:rsid w:val="00C26EF8"/>
    <w:rsid w:val="00C31B4D"/>
    <w:rsid w:val="00C33749"/>
    <w:rsid w:val="00C37ADD"/>
    <w:rsid w:val="00C41975"/>
    <w:rsid w:val="00C43AE4"/>
    <w:rsid w:val="00C4501B"/>
    <w:rsid w:val="00C52705"/>
    <w:rsid w:val="00C54FD8"/>
    <w:rsid w:val="00C56068"/>
    <w:rsid w:val="00C60693"/>
    <w:rsid w:val="00C616C7"/>
    <w:rsid w:val="00C651BF"/>
    <w:rsid w:val="00C66BB9"/>
    <w:rsid w:val="00C67953"/>
    <w:rsid w:val="00C70999"/>
    <w:rsid w:val="00C74C5B"/>
    <w:rsid w:val="00C76828"/>
    <w:rsid w:val="00C824B7"/>
    <w:rsid w:val="00C82A24"/>
    <w:rsid w:val="00C831B1"/>
    <w:rsid w:val="00C83400"/>
    <w:rsid w:val="00C87997"/>
    <w:rsid w:val="00C87A72"/>
    <w:rsid w:val="00C90FC4"/>
    <w:rsid w:val="00C945E2"/>
    <w:rsid w:val="00C950B0"/>
    <w:rsid w:val="00C97ACF"/>
    <w:rsid w:val="00CA6590"/>
    <w:rsid w:val="00CA699C"/>
    <w:rsid w:val="00CA729B"/>
    <w:rsid w:val="00CB035D"/>
    <w:rsid w:val="00CB1489"/>
    <w:rsid w:val="00CB19F2"/>
    <w:rsid w:val="00CB7079"/>
    <w:rsid w:val="00CC6161"/>
    <w:rsid w:val="00CD0FA7"/>
    <w:rsid w:val="00CD19F2"/>
    <w:rsid w:val="00CD695F"/>
    <w:rsid w:val="00CF2DF8"/>
    <w:rsid w:val="00D00507"/>
    <w:rsid w:val="00D0069A"/>
    <w:rsid w:val="00D01A59"/>
    <w:rsid w:val="00D039C0"/>
    <w:rsid w:val="00D048F5"/>
    <w:rsid w:val="00D05E19"/>
    <w:rsid w:val="00D06F1E"/>
    <w:rsid w:val="00D10A7D"/>
    <w:rsid w:val="00D16843"/>
    <w:rsid w:val="00D3171B"/>
    <w:rsid w:val="00D34A3E"/>
    <w:rsid w:val="00D3517A"/>
    <w:rsid w:val="00D45DD4"/>
    <w:rsid w:val="00D4671F"/>
    <w:rsid w:val="00D51629"/>
    <w:rsid w:val="00D51D2A"/>
    <w:rsid w:val="00D55524"/>
    <w:rsid w:val="00D62B80"/>
    <w:rsid w:val="00D648D4"/>
    <w:rsid w:val="00D66088"/>
    <w:rsid w:val="00D75180"/>
    <w:rsid w:val="00D75A2B"/>
    <w:rsid w:val="00D76D78"/>
    <w:rsid w:val="00D81230"/>
    <w:rsid w:val="00D844D0"/>
    <w:rsid w:val="00D84634"/>
    <w:rsid w:val="00D859F3"/>
    <w:rsid w:val="00D91CD8"/>
    <w:rsid w:val="00D972B6"/>
    <w:rsid w:val="00D9748E"/>
    <w:rsid w:val="00D97EA3"/>
    <w:rsid w:val="00DA26E6"/>
    <w:rsid w:val="00DB0A92"/>
    <w:rsid w:val="00DB1C51"/>
    <w:rsid w:val="00DB272F"/>
    <w:rsid w:val="00DB327C"/>
    <w:rsid w:val="00DB521C"/>
    <w:rsid w:val="00DB5C36"/>
    <w:rsid w:val="00DB7AD2"/>
    <w:rsid w:val="00DC3579"/>
    <w:rsid w:val="00DD4E61"/>
    <w:rsid w:val="00DE10C1"/>
    <w:rsid w:val="00DF49BC"/>
    <w:rsid w:val="00DF57B8"/>
    <w:rsid w:val="00DF6EB7"/>
    <w:rsid w:val="00E0107E"/>
    <w:rsid w:val="00E03257"/>
    <w:rsid w:val="00E17017"/>
    <w:rsid w:val="00E24D5F"/>
    <w:rsid w:val="00E24E53"/>
    <w:rsid w:val="00E25A98"/>
    <w:rsid w:val="00E26E66"/>
    <w:rsid w:val="00E33C95"/>
    <w:rsid w:val="00E35CB2"/>
    <w:rsid w:val="00E40852"/>
    <w:rsid w:val="00E415CF"/>
    <w:rsid w:val="00E52C6E"/>
    <w:rsid w:val="00E5740C"/>
    <w:rsid w:val="00E61BBE"/>
    <w:rsid w:val="00E70ADD"/>
    <w:rsid w:val="00E747A1"/>
    <w:rsid w:val="00E935B9"/>
    <w:rsid w:val="00E942F3"/>
    <w:rsid w:val="00EA46B7"/>
    <w:rsid w:val="00EA671C"/>
    <w:rsid w:val="00EA74E1"/>
    <w:rsid w:val="00EB06F5"/>
    <w:rsid w:val="00EB14B0"/>
    <w:rsid w:val="00EB1573"/>
    <w:rsid w:val="00EC0050"/>
    <w:rsid w:val="00EC44B0"/>
    <w:rsid w:val="00ED332C"/>
    <w:rsid w:val="00ED6937"/>
    <w:rsid w:val="00EE2CBF"/>
    <w:rsid w:val="00EF1AB2"/>
    <w:rsid w:val="00F25711"/>
    <w:rsid w:val="00F27780"/>
    <w:rsid w:val="00F40993"/>
    <w:rsid w:val="00F43F17"/>
    <w:rsid w:val="00F539BA"/>
    <w:rsid w:val="00F61553"/>
    <w:rsid w:val="00F6475B"/>
    <w:rsid w:val="00F65B4C"/>
    <w:rsid w:val="00F65DCD"/>
    <w:rsid w:val="00F71F97"/>
    <w:rsid w:val="00F728CC"/>
    <w:rsid w:val="00F806DD"/>
    <w:rsid w:val="00F86DFA"/>
    <w:rsid w:val="00F86EC4"/>
    <w:rsid w:val="00FA7ED7"/>
    <w:rsid w:val="00FB1825"/>
    <w:rsid w:val="00FB2B78"/>
    <w:rsid w:val="00FB6409"/>
    <w:rsid w:val="00FC5595"/>
    <w:rsid w:val="00FD1BC2"/>
    <w:rsid w:val="00FD2598"/>
    <w:rsid w:val="00FD2668"/>
    <w:rsid w:val="00FD38AB"/>
    <w:rsid w:val="00FE0566"/>
    <w:rsid w:val="00FE0C0F"/>
    <w:rsid w:val="00FE23A7"/>
    <w:rsid w:val="00FE3A57"/>
    <w:rsid w:val="00FE7E9A"/>
    <w:rsid w:val="00FF62D7"/>
    <w:rsid w:val="439A4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75A3E"/>
  <w15:docId w15:val="{C5A9C168-2979-4690-B59C-0F872D1C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656"/>
    <w:pPr>
      <w:spacing w:afterLines="100" w:after="240" w:line="300" w:lineRule="auto"/>
    </w:pPr>
    <w:rPr>
      <w:rFonts w:ascii="Arial" w:hAnsi="Arial" w:cs="Arial"/>
      <w:sz w:val="24"/>
      <w:szCs w:val="24"/>
    </w:rPr>
  </w:style>
  <w:style w:type="paragraph" w:styleId="Heading1">
    <w:name w:val="heading 1"/>
    <w:link w:val="Heading1Char"/>
    <w:uiPriority w:val="9"/>
    <w:qFormat/>
    <w:rsid w:val="00396E46"/>
    <w:pPr>
      <w:keepNext/>
      <w:keepLines/>
      <w:numPr>
        <w:numId w:val="21"/>
      </w:numPr>
      <w:spacing w:before="360" w:after="240" w:line="264" w:lineRule="auto"/>
      <w:outlineLvl w:val="0"/>
    </w:pPr>
    <w:rPr>
      <w:rFonts w:ascii="Arial" w:eastAsia="Arial" w:hAnsi="Arial" w:cs="Arial"/>
      <w:b/>
      <w:color w:val="000000"/>
      <w:sz w:val="26"/>
      <w:szCs w:val="26"/>
      <w:lang w:eastAsia="en-GB"/>
    </w:rPr>
  </w:style>
  <w:style w:type="paragraph" w:styleId="Heading2">
    <w:name w:val="heading 2"/>
    <w:link w:val="Heading2Char"/>
    <w:uiPriority w:val="9"/>
    <w:unhideWhenUsed/>
    <w:qFormat/>
    <w:rsid w:val="00396E46"/>
    <w:pPr>
      <w:numPr>
        <w:ilvl w:val="1"/>
        <w:numId w:val="21"/>
      </w:numPr>
      <w:spacing w:after="240"/>
      <w:outlineLvl w:val="1"/>
    </w:pPr>
    <w:rPr>
      <w:rFonts w:ascii="Arial" w:eastAsia="Arial" w:hAnsi="Arial" w:cs="Arial"/>
      <w:b/>
      <w:color w:val="000000"/>
      <w:sz w:val="24"/>
      <w:szCs w:val="24"/>
      <w:lang w:eastAsia="en-GB"/>
    </w:rPr>
  </w:style>
  <w:style w:type="paragraph" w:styleId="Heading3">
    <w:name w:val="heading 3"/>
    <w:basedOn w:val="Normal"/>
    <w:next w:val="Normal"/>
    <w:link w:val="Heading3Char"/>
    <w:uiPriority w:val="9"/>
    <w:unhideWhenUsed/>
    <w:qFormat/>
    <w:rsid w:val="00914DED"/>
    <w:pPr>
      <w:keepNext/>
      <w:keepLines/>
      <w:numPr>
        <w:ilvl w:val="2"/>
        <w:numId w:val="21"/>
      </w:numPr>
      <w:spacing w:line="264" w:lineRule="auto"/>
      <w:ind w:left="283" w:hanging="113"/>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rsid w:val="00056B7B"/>
    <w:pPr>
      <w:keepNext/>
      <w:keepLines/>
      <w:numPr>
        <w:ilvl w:val="3"/>
        <w:numId w:val="2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056B7B"/>
    <w:pPr>
      <w:keepNext/>
      <w:keepLines/>
      <w:numPr>
        <w:ilvl w:val="4"/>
        <w:numId w:val="2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56B7B"/>
    <w:pPr>
      <w:keepNext/>
      <w:keepLines/>
      <w:numPr>
        <w:ilvl w:val="5"/>
        <w:numId w:val="2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56B7B"/>
    <w:pPr>
      <w:keepNext/>
      <w:keepLines/>
      <w:numPr>
        <w:ilvl w:val="6"/>
        <w:numId w:val="2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56B7B"/>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6B7B"/>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link w:val="ListParagraphChar"/>
    <w:uiPriority w:val="34"/>
    <w:qFormat/>
    <w:rsid w:val="00396E46"/>
    <w:pPr>
      <w:widowControl w:val="0"/>
      <w:numPr>
        <w:numId w:val="12"/>
      </w:numPr>
      <w:spacing w:after="240" w:line="300" w:lineRule="auto"/>
      <w:ind w:left="794" w:hanging="340"/>
      <w:contextualSpacing/>
    </w:pPr>
    <w:rPr>
      <w:rFonts w:ascii="Arial" w:hAnsi="Arial" w:cs="Arial"/>
      <w:bCs/>
      <w:sz w:val="24"/>
      <w:szCs w:val="24"/>
      <w:lang w:val="en" w:eastAsia="en-GB"/>
    </w:rPr>
  </w:style>
  <w:style w:type="character" w:customStyle="1" w:styleId="ListParagraphChar">
    <w:name w:val="List Paragraph Char"/>
    <w:link w:val="ListParagraph"/>
    <w:uiPriority w:val="34"/>
    <w:rsid w:val="00396E46"/>
    <w:rPr>
      <w:rFonts w:ascii="Arial" w:hAnsi="Arial" w:cs="Arial"/>
      <w:bCs/>
      <w:sz w:val="24"/>
      <w:szCs w:val="24"/>
      <w:lang w:val="en" w:eastAsia="en-GB"/>
    </w:rPr>
  </w:style>
  <w:style w:type="table" w:customStyle="1" w:styleId="TableGrid1">
    <w:name w:val="Table Grid1"/>
    <w:basedOn w:val="TableNormal"/>
    <w:next w:val="TableGrid"/>
    <w:uiPriority w:val="39"/>
    <w:rsid w:val="00811F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4"/>
    <w:qFormat/>
    <w:rsid w:val="00AE6656"/>
    <w:pPr>
      <w:spacing w:after="0" w:line="240" w:lineRule="auto"/>
    </w:pPr>
    <w:rPr>
      <w:sz w:val="24"/>
      <w:szCs w:val="24"/>
    </w:rPr>
  </w:style>
  <w:style w:type="paragraph" w:styleId="Header">
    <w:name w:val="header"/>
    <w:basedOn w:val="Normal"/>
    <w:link w:val="HeaderChar"/>
    <w:uiPriority w:val="99"/>
    <w:unhideWhenUsed/>
    <w:rsid w:val="005513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303"/>
  </w:style>
  <w:style w:type="paragraph" w:styleId="Footer">
    <w:name w:val="footer"/>
    <w:link w:val="FooterChar"/>
    <w:uiPriority w:val="99"/>
    <w:unhideWhenUsed/>
    <w:qFormat/>
    <w:rsid w:val="00974DBD"/>
    <w:pPr>
      <w:spacing w:before="120" w:after="120" w:line="240" w:lineRule="auto"/>
    </w:pPr>
    <w:rPr>
      <w:rFonts w:ascii="Arial" w:hAnsi="Arial" w:cs="Arial"/>
      <w:sz w:val="20"/>
    </w:rPr>
  </w:style>
  <w:style w:type="character" w:customStyle="1" w:styleId="FooterChar">
    <w:name w:val="Footer Char"/>
    <w:basedOn w:val="DefaultParagraphFont"/>
    <w:link w:val="Footer"/>
    <w:uiPriority w:val="99"/>
    <w:rsid w:val="00974DBD"/>
    <w:rPr>
      <w:rFonts w:ascii="Arial" w:hAnsi="Arial" w:cs="Arial"/>
      <w:sz w:val="20"/>
    </w:rPr>
  </w:style>
  <w:style w:type="paragraph" w:styleId="BalloonText">
    <w:name w:val="Balloon Text"/>
    <w:basedOn w:val="Normal"/>
    <w:link w:val="BalloonTextChar"/>
    <w:uiPriority w:val="99"/>
    <w:semiHidden/>
    <w:unhideWhenUsed/>
    <w:rsid w:val="00415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797"/>
    <w:rPr>
      <w:rFonts w:ascii="Segoe UI" w:hAnsi="Segoe UI" w:cs="Segoe UI"/>
      <w:sz w:val="18"/>
      <w:szCs w:val="18"/>
    </w:rPr>
  </w:style>
  <w:style w:type="character" w:customStyle="1" w:styleId="A4">
    <w:name w:val="A4"/>
    <w:uiPriority w:val="99"/>
    <w:rsid w:val="006C21CE"/>
    <w:rPr>
      <w:rFonts w:ascii="GillSans Light" w:hAnsi="GillSans Light" w:cs="GillSans Light"/>
      <w:color w:val="000000"/>
    </w:rPr>
  </w:style>
  <w:style w:type="character" w:customStyle="1" w:styleId="Heading1Char">
    <w:name w:val="Heading 1 Char"/>
    <w:basedOn w:val="DefaultParagraphFont"/>
    <w:link w:val="Heading1"/>
    <w:uiPriority w:val="9"/>
    <w:rsid w:val="00396E46"/>
    <w:rPr>
      <w:rFonts w:ascii="Arial" w:eastAsia="Arial" w:hAnsi="Arial" w:cs="Arial"/>
      <w:b/>
      <w:color w:val="000000"/>
      <w:sz w:val="26"/>
      <w:szCs w:val="26"/>
      <w:lang w:eastAsia="en-GB"/>
    </w:rPr>
  </w:style>
  <w:style w:type="character" w:customStyle="1" w:styleId="Heading2Char">
    <w:name w:val="Heading 2 Char"/>
    <w:basedOn w:val="DefaultParagraphFont"/>
    <w:link w:val="Heading2"/>
    <w:uiPriority w:val="9"/>
    <w:rsid w:val="00396E46"/>
    <w:rPr>
      <w:rFonts w:ascii="Arial" w:eastAsia="Arial" w:hAnsi="Arial" w:cs="Arial"/>
      <w:b/>
      <w:color w:val="000000"/>
      <w:sz w:val="24"/>
      <w:szCs w:val="24"/>
      <w:lang w:eastAsia="en-GB"/>
    </w:rPr>
  </w:style>
  <w:style w:type="paragraph" w:styleId="Title">
    <w:name w:val="Title"/>
    <w:basedOn w:val="Normal"/>
    <w:next w:val="Normal"/>
    <w:link w:val="TitleChar"/>
    <w:uiPriority w:val="10"/>
    <w:qFormat/>
    <w:rsid w:val="0055599B"/>
    <w:pPr>
      <w:spacing w:before="6000" w:afterLines="0" w:after="6000" w:line="240" w:lineRule="auto"/>
      <w:contextualSpacing/>
    </w:pPr>
    <w:rPr>
      <w:rFonts w:asciiTheme="majorHAnsi" w:eastAsiaTheme="majorEastAsia" w:hAnsiTheme="majorHAnsi" w:cstheme="majorBidi"/>
      <w:b/>
      <w:bCs/>
      <w:spacing w:val="-10"/>
      <w:kern w:val="28"/>
      <w:sz w:val="72"/>
      <w:szCs w:val="72"/>
    </w:rPr>
  </w:style>
  <w:style w:type="character" w:styleId="Hyperlink">
    <w:name w:val="Hyperlink"/>
    <w:basedOn w:val="DefaultParagraphFont"/>
    <w:uiPriority w:val="99"/>
    <w:unhideWhenUsed/>
    <w:rsid w:val="00B940F5"/>
    <w:rPr>
      <w:color w:val="0000FF" w:themeColor="hyperlink"/>
      <w:u w:val="single"/>
    </w:rPr>
  </w:style>
  <w:style w:type="character" w:styleId="UnresolvedMention">
    <w:name w:val="Unresolved Mention"/>
    <w:basedOn w:val="DefaultParagraphFont"/>
    <w:uiPriority w:val="99"/>
    <w:semiHidden/>
    <w:unhideWhenUsed/>
    <w:rsid w:val="00B940F5"/>
    <w:rPr>
      <w:color w:val="605E5C"/>
      <w:shd w:val="clear" w:color="auto" w:fill="E1DFDD"/>
    </w:rPr>
  </w:style>
  <w:style w:type="character" w:styleId="CommentReference">
    <w:name w:val="annotation reference"/>
    <w:basedOn w:val="DefaultParagraphFont"/>
    <w:uiPriority w:val="99"/>
    <w:semiHidden/>
    <w:unhideWhenUsed/>
    <w:rsid w:val="00B940F5"/>
    <w:rPr>
      <w:sz w:val="16"/>
      <w:szCs w:val="16"/>
    </w:rPr>
  </w:style>
  <w:style w:type="paragraph" w:styleId="CommentSubject">
    <w:name w:val="annotation subject"/>
    <w:basedOn w:val="Normal"/>
    <w:next w:val="Normal"/>
    <w:link w:val="CommentSubjectChar"/>
    <w:uiPriority w:val="99"/>
    <w:semiHidden/>
    <w:unhideWhenUsed/>
    <w:rsid w:val="00C26EF8"/>
    <w:pPr>
      <w:spacing w:after="5" w:line="240" w:lineRule="auto"/>
      <w:ind w:left="652" w:right="740" w:hanging="575"/>
      <w:jc w:val="both"/>
    </w:pPr>
    <w:rPr>
      <w:rFonts w:eastAsia="Arial"/>
      <w:b/>
      <w:bCs/>
      <w:color w:val="000000"/>
      <w:sz w:val="20"/>
      <w:szCs w:val="20"/>
      <w:lang w:eastAsia="en-GB"/>
    </w:rPr>
  </w:style>
  <w:style w:type="character" w:customStyle="1" w:styleId="CommentSubjectChar">
    <w:name w:val="Comment Subject Char"/>
    <w:basedOn w:val="DefaultParagraphFont"/>
    <w:link w:val="CommentSubject"/>
    <w:uiPriority w:val="99"/>
    <w:semiHidden/>
    <w:rsid w:val="00C26EF8"/>
    <w:rPr>
      <w:rFonts w:ascii="Arial" w:eastAsia="Arial" w:hAnsi="Arial" w:cs="Arial"/>
      <w:b/>
      <w:bCs/>
      <w:color w:val="000000"/>
      <w:sz w:val="20"/>
      <w:szCs w:val="20"/>
      <w:lang w:eastAsia="en-GB"/>
    </w:rPr>
  </w:style>
  <w:style w:type="paragraph" w:styleId="Revision">
    <w:name w:val="Revision"/>
    <w:hidden/>
    <w:uiPriority w:val="99"/>
    <w:semiHidden/>
    <w:rsid w:val="00B940F5"/>
    <w:pPr>
      <w:spacing w:after="0" w:line="240" w:lineRule="auto"/>
    </w:pPr>
    <w:rPr>
      <w:rFonts w:ascii="Arial" w:eastAsia="Arial" w:hAnsi="Arial" w:cs="Arial"/>
      <w:color w:val="000000"/>
      <w:lang w:eastAsia="en-GB"/>
    </w:rPr>
  </w:style>
  <w:style w:type="character" w:styleId="Strong">
    <w:name w:val="Strong"/>
    <w:basedOn w:val="DefaultParagraphFont"/>
    <w:uiPriority w:val="22"/>
    <w:qFormat/>
    <w:rsid w:val="00E24E53"/>
    <w:rPr>
      <w:b/>
      <w:bCs/>
    </w:rPr>
  </w:style>
  <w:style w:type="character" w:customStyle="1" w:styleId="TitleChar">
    <w:name w:val="Title Char"/>
    <w:basedOn w:val="DefaultParagraphFont"/>
    <w:link w:val="Title"/>
    <w:uiPriority w:val="10"/>
    <w:rsid w:val="0055599B"/>
    <w:rPr>
      <w:rFonts w:asciiTheme="majorHAnsi" w:eastAsiaTheme="majorEastAsia" w:hAnsiTheme="majorHAnsi" w:cstheme="majorBidi"/>
      <w:b/>
      <w:bCs/>
      <w:spacing w:val="-10"/>
      <w:kern w:val="28"/>
      <w:sz w:val="72"/>
      <w:szCs w:val="72"/>
    </w:rPr>
  </w:style>
  <w:style w:type="paragraph" w:styleId="FootnoteText">
    <w:name w:val="footnote text"/>
    <w:basedOn w:val="Normal"/>
    <w:link w:val="FootnoteTextChar"/>
    <w:uiPriority w:val="99"/>
    <w:semiHidden/>
    <w:unhideWhenUsed/>
    <w:rsid w:val="001510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046"/>
    <w:rPr>
      <w:sz w:val="20"/>
      <w:szCs w:val="20"/>
    </w:rPr>
  </w:style>
  <w:style w:type="character" w:styleId="FootnoteReference">
    <w:name w:val="footnote reference"/>
    <w:basedOn w:val="DefaultParagraphFont"/>
    <w:uiPriority w:val="99"/>
    <w:semiHidden/>
    <w:unhideWhenUsed/>
    <w:rsid w:val="00151046"/>
    <w:rPr>
      <w:vertAlign w:val="superscript"/>
    </w:rPr>
  </w:style>
  <w:style w:type="character" w:styleId="FollowedHyperlink">
    <w:name w:val="FollowedHyperlink"/>
    <w:basedOn w:val="DefaultParagraphFont"/>
    <w:uiPriority w:val="99"/>
    <w:semiHidden/>
    <w:unhideWhenUsed/>
    <w:rsid w:val="00391F31"/>
    <w:rPr>
      <w:color w:val="800080" w:themeColor="followedHyperlink"/>
      <w:u w:val="single"/>
    </w:rPr>
  </w:style>
  <w:style w:type="character" w:customStyle="1" w:styleId="Heading3Char">
    <w:name w:val="Heading 3 Char"/>
    <w:basedOn w:val="DefaultParagraphFont"/>
    <w:link w:val="Heading3"/>
    <w:uiPriority w:val="9"/>
    <w:rsid w:val="00914DED"/>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056B7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56B7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56B7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56B7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56B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6B7B"/>
    <w:rPr>
      <w:rFonts w:asciiTheme="majorHAnsi" w:eastAsiaTheme="majorEastAsia" w:hAnsiTheme="majorHAnsi" w:cstheme="majorBidi"/>
      <w:i/>
      <w:iCs/>
      <w:color w:val="272727" w:themeColor="text1" w:themeTint="D8"/>
      <w:sz w:val="21"/>
      <w:szCs w:val="21"/>
    </w:rPr>
  </w:style>
  <w:style w:type="paragraph" w:customStyle="1" w:styleId="IndentedNormal">
    <w:name w:val="Indented Normal"/>
    <w:basedOn w:val="ListParagraph"/>
    <w:uiPriority w:val="1"/>
    <w:rsid w:val="006D313C"/>
    <w:pPr>
      <w:numPr>
        <w:numId w:val="0"/>
      </w:numPr>
      <w:spacing w:line="276" w:lineRule="auto"/>
      <w:ind w:left="794"/>
      <w:contextualSpacing w:val="0"/>
    </w:pPr>
    <w:rPr>
      <w:bCs w:val="0"/>
    </w:rPr>
  </w:style>
  <w:style w:type="paragraph" w:customStyle="1" w:styleId="HeadingBullet">
    <w:name w:val="Heading Bullet"/>
    <w:basedOn w:val="ListParagraph"/>
    <w:uiPriority w:val="30"/>
    <w:qFormat/>
    <w:rsid w:val="006D313C"/>
    <w:pPr>
      <w:spacing w:before="360" w:after="120"/>
    </w:pPr>
    <w:rPr>
      <w:b/>
    </w:rPr>
  </w:style>
  <w:style w:type="paragraph" w:customStyle="1" w:styleId="SmallSpacing">
    <w:name w:val="Small Spacing"/>
    <w:uiPriority w:val="99"/>
    <w:qFormat/>
    <w:rsid w:val="00FE0C0F"/>
    <w:pPr>
      <w:spacing w:after="0" w:line="240" w:lineRule="auto"/>
    </w:pPr>
    <w:rPr>
      <w:rFonts w:ascii="Arial" w:hAnsi="Arial" w:cs="Arial"/>
      <w:sz w:val="2"/>
      <w:szCs w:val="2"/>
    </w:rPr>
  </w:style>
  <w:style w:type="paragraph" w:styleId="Subtitle">
    <w:name w:val="Subtitle"/>
    <w:basedOn w:val="Normal"/>
    <w:next w:val="Normal"/>
    <w:link w:val="SubtitleChar"/>
    <w:uiPriority w:val="11"/>
    <w:qFormat/>
    <w:rsid w:val="00131017"/>
    <w:pPr>
      <w:numPr>
        <w:ilvl w:val="1"/>
      </w:numPr>
      <w:spacing w:afterLines="0" w:after="0" w:line="240" w:lineRule="auto"/>
    </w:pPr>
    <w:rPr>
      <w:rFonts w:asciiTheme="minorHAnsi" w:eastAsiaTheme="minorEastAsia" w:hAnsiTheme="minorHAnsi" w:cstheme="minorBidi"/>
      <w:sz w:val="28"/>
      <w:szCs w:val="28"/>
    </w:rPr>
  </w:style>
  <w:style w:type="character" w:customStyle="1" w:styleId="SubtitleChar">
    <w:name w:val="Subtitle Char"/>
    <w:basedOn w:val="DefaultParagraphFont"/>
    <w:link w:val="Subtitle"/>
    <w:uiPriority w:val="11"/>
    <w:rsid w:val="00131017"/>
    <w:rPr>
      <w:rFonts w:eastAsiaTheme="minorEastAsia"/>
      <w:sz w:val="28"/>
      <w:szCs w:val="28"/>
    </w:rPr>
  </w:style>
  <w:style w:type="paragraph" w:styleId="TOCHeading">
    <w:name w:val="TOC Heading"/>
    <w:basedOn w:val="Heading1"/>
    <w:next w:val="Normal"/>
    <w:uiPriority w:val="39"/>
    <w:unhideWhenUsed/>
    <w:qFormat/>
    <w:rsid w:val="00C651BF"/>
    <w:pPr>
      <w:numPr>
        <w:numId w:val="0"/>
      </w:numPr>
      <w:spacing w:before="0" w:after="0" w:line="240" w:lineRule="auto"/>
      <w:outlineLvl w:val="9"/>
    </w:pPr>
    <w:rPr>
      <w:rFonts w:asciiTheme="majorHAnsi" w:eastAsiaTheme="majorEastAsia" w:hAnsiTheme="majorHAnsi" w:cstheme="majorBidi"/>
      <w:bCs/>
      <w:color w:val="auto"/>
      <w:sz w:val="28"/>
      <w:szCs w:val="28"/>
      <w:lang w:val="en-US" w:eastAsia="en-US"/>
    </w:rPr>
  </w:style>
  <w:style w:type="paragraph" w:styleId="TOC1">
    <w:name w:val="toc 1"/>
    <w:uiPriority w:val="39"/>
    <w:qFormat/>
    <w:rsid w:val="002C3FDA"/>
    <w:pPr>
      <w:tabs>
        <w:tab w:val="left" w:pos="440"/>
        <w:tab w:val="right" w:pos="9739"/>
      </w:tabs>
      <w:spacing w:before="180" w:after="180" w:line="240" w:lineRule="auto"/>
    </w:pPr>
    <w:rPr>
      <w:rFonts w:ascii="Arial" w:hAnsi="Arial" w:cs="Arial"/>
      <w:b/>
      <w:noProof/>
      <w:sz w:val="24"/>
      <w:szCs w:val="24"/>
    </w:rPr>
  </w:style>
  <w:style w:type="paragraph" w:styleId="TOC2">
    <w:name w:val="toc 2"/>
    <w:uiPriority w:val="39"/>
    <w:qFormat/>
    <w:rsid w:val="002C3FDA"/>
    <w:pPr>
      <w:tabs>
        <w:tab w:val="left" w:pos="960"/>
        <w:tab w:val="right" w:pos="9739"/>
      </w:tabs>
      <w:spacing w:before="100" w:after="100" w:line="240" w:lineRule="auto"/>
      <w:ind w:left="908" w:right="227" w:hanging="454"/>
    </w:pPr>
    <w:rPr>
      <w:rFonts w:ascii="Arial" w:hAnsi="Arial" w:cs="Arial"/>
      <w:noProof/>
      <w:sz w:val="24"/>
      <w:szCs w:val="24"/>
    </w:rPr>
  </w:style>
  <w:style w:type="paragraph" w:styleId="TOC3">
    <w:name w:val="toc 3"/>
    <w:uiPriority w:val="39"/>
    <w:unhideWhenUsed/>
    <w:qFormat/>
    <w:rsid w:val="002C3FDA"/>
    <w:pPr>
      <w:tabs>
        <w:tab w:val="left" w:pos="1191"/>
        <w:tab w:val="right" w:pos="9739"/>
      </w:tabs>
      <w:spacing w:before="120" w:after="120"/>
      <w:ind w:left="907"/>
    </w:pPr>
    <w:rPr>
      <w:rFonts w:ascii="Arial" w:hAnsi="Arial" w:cs="Arial"/>
      <w:noProof/>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135868">
      <w:bodyDiv w:val="1"/>
      <w:marLeft w:val="0"/>
      <w:marRight w:val="0"/>
      <w:marTop w:val="0"/>
      <w:marBottom w:val="0"/>
      <w:divBdr>
        <w:top w:val="none" w:sz="0" w:space="0" w:color="auto"/>
        <w:left w:val="none" w:sz="0" w:space="0" w:color="auto"/>
        <w:bottom w:val="none" w:sz="0" w:space="0" w:color="auto"/>
        <w:right w:val="none" w:sz="0" w:space="0" w:color="auto"/>
      </w:divBdr>
    </w:div>
    <w:div w:id="666980466">
      <w:bodyDiv w:val="1"/>
      <w:marLeft w:val="0"/>
      <w:marRight w:val="0"/>
      <w:marTop w:val="0"/>
      <w:marBottom w:val="0"/>
      <w:divBdr>
        <w:top w:val="none" w:sz="0" w:space="0" w:color="auto"/>
        <w:left w:val="none" w:sz="0" w:space="0" w:color="auto"/>
        <w:bottom w:val="none" w:sz="0" w:space="0" w:color="auto"/>
        <w:right w:val="none" w:sz="0" w:space="0" w:color="auto"/>
      </w:divBdr>
    </w:div>
    <w:div w:id="724642304">
      <w:bodyDiv w:val="1"/>
      <w:marLeft w:val="0"/>
      <w:marRight w:val="0"/>
      <w:marTop w:val="0"/>
      <w:marBottom w:val="0"/>
      <w:divBdr>
        <w:top w:val="none" w:sz="0" w:space="0" w:color="auto"/>
        <w:left w:val="none" w:sz="0" w:space="0" w:color="auto"/>
        <w:bottom w:val="none" w:sz="0" w:space="0" w:color="auto"/>
        <w:right w:val="none" w:sz="0" w:space="0" w:color="auto"/>
      </w:divBdr>
    </w:div>
    <w:div w:id="1151022507">
      <w:bodyDiv w:val="1"/>
      <w:marLeft w:val="0"/>
      <w:marRight w:val="0"/>
      <w:marTop w:val="0"/>
      <w:marBottom w:val="0"/>
      <w:divBdr>
        <w:top w:val="none" w:sz="0" w:space="0" w:color="auto"/>
        <w:left w:val="none" w:sz="0" w:space="0" w:color="auto"/>
        <w:bottom w:val="none" w:sz="0" w:space="0" w:color="auto"/>
        <w:right w:val="none" w:sz="0" w:space="0" w:color="auto"/>
      </w:divBdr>
    </w:div>
    <w:div w:id="1328707125">
      <w:bodyDiv w:val="1"/>
      <w:marLeft w:val="0"/>
      <w:marRight w:val="0"/>
      <w:marTop w:val="0"/>
      <w:marBottom w:val="0"/>
      <w:divBdr>
        <w:top w:val="none" w:sz="0" w:space="0" w:color="auto"/>
        <w:left w:val="none" w:sz="0" w:space="0" w:color="auto"/>
        <w:bottom w:val="none" w:sz="0" w:space="0" w:color="auto"/>
        <w:right w:val="none" w:sz="0" w:space="0" w:color="auto"/>
      </w:divBdr>
    </w:div>
    <w:div w:id="1386292520">
      <w:bodyDiv w:val="1"/>
      <w:marLeft w:val="0"/>
      <w:marRight w:val="0"/>
      <w:marTop w:val="0"/>
      <w:marBottom w:val="0"/>
      <w:divBdr>
        <w:top w:val="none" w:sz="0" w:space="0" w:color="auto"/>
        <w:left w:val="none" w:sz="0" w:space="0" w:color="auto"/>
        <w:bottom w:val="none" w:sz="0" w:space="0" w:color="auto"/>
        <w:right w:val="none" w:sz="0" w:space="0" w:color="auto"/>
      </w:divBdr>
    </w:div>
    <w:div w:id="1584487959">
      <w:bodyDiv w:val="1"/>
      <w:marLeft w:val="0"/>
      <w:marRight w:val="0"/>
      <w:marTop w:val="0"/>
      <w:marBottom w:val="0"/>
      <w:divBdr>
        <w:top w:val="none" w:sz="0" w:space="0" w:color="auto"/>
        <w:left w:val="none" w:sz="0" w:space="0" w:color="auto"/>
        <w:bottom w:val="none" w:sz="0" w:space="0" w:color="auto"/>
        <w:right w:val="none" w:sz="0" w:space="0" w:color="auto"/>
      </w:divBdr>
      <w:divsChild>
        <w:div w:id="2034958655">
          <w:marLeft w:val="0"/>
          <w:marRight w:val="0"/>
          <w:marTop w:val="0"/>
          <w:marBottom w:val="0"/>
          <w:divBdr>
            <w:top w:val="none" w:sz="0" w:space="0" w:color="auto"/>
            <w:left w:val="none" w:sz="0" w:space="0" w:color="auto"/>
            <w:bottom w:val="none" w:sz="0" w:space="0" w:color="auto"/>
            <w:right w:val="none" w:sz="0" w:space="0" w:color="auto"/>
          </w:divBdr>
        </w:div>
      </w:divsChild>
    </w:div>
    <w:div w:id="2005355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stice.gov.uk/courts/procedure-rules/civil/rules/pd_pre-action_conduc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7F8DFA766E89448C8C660E9F1F0E9D" ma:contentTypeVersion="15" ma:contentTypeDescription="Create a new document." ma:contentTypeScope="" ma:versionID="98123da8dd7ef44d33074d9b651a8f5d">
  <xsd:schema xmlns:xsd="http://www.w3.org/2001/XMLSchema" xmlns:xs="http://www.w3.org/2001/XMLSchema" xmlns:p="http://schemas.microsoft.com/office/2006/metadata/properties" xmlns:ns2="f25ec319-21a5-42e6-8e88-575a7acbfc8b" xmlns:ns3="c3b8feae-81c5-4ccf-a782-7a44eb3132de" targetNamespace="http://schemas.microsoft.com/office/2006/metadata/properties" ma:root="true" ma:fieldsID="edfd503591f298d6fc0977026d7bcc61" ns2:_="" ns3:_="">
    <xsd:import namespace="f25ec319-21a5-42e6-8e88-575a7acbfc8b"/>
    <xsd:import namespace="c3b8feae-81c5-4ccf-a782-7a44eb3132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ateforReview" minOccurs="0"/>
                <xsd:element ref="ns3:SharedWithUsers" minOccurs="0"/>
                <xsd:element ref="ns3:SharedWithDetails" minOccurs="0"/>
                <xsd:element ref="ns2:No_x002e_" minOccurs="0"/>
                <xsd:element ref="ns2:MediaServiceSearchProperties" minOccurs="0"/>
                <xsd:element ref="ns2:TemporaryPermissions" minOccurs="0"/>
                <xsd:element ref="ns2:PolicyLe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ec319-21a5-42e6-8e88-575a7acbf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ateforReview" ma:index="11" nillable="true" ma:displayName="Date" ma:format="DateOnly" ma:internalName="DateforReview">
      <xsd:simpleType>
        <xsd:restriction base="dms:DateTime"/>
      </xsd:simpleType>
    </xsd:element>
    <xsd:element name="No_x002e_" ma:index="15" nillable="true" ma:displayName="No." ma:default="2" ma:format="Dropdown" ma:internalName="No_x002e_" ma:percentage="FALSE">
      <xsd:simpleType>
        <xsd:restriction base="dms:Number"/>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TemporaryPermissions" ma:index="17" nillable="true" ma:displayName="Temp SharePoint Permissions" ma:default="0" ma:format="Dropdown" ma:internalName="TemporaryPermissions">
      <xsd:simpleType>
        <xsd:restriction base="dms:Boolean"/>
      </xsd:simpleType>
    </xsd:element>
    <xsd:element name="PolicyLead" ma:index="18" nillable="true" ma:displayName="Lead" ma:format="Dropdown" ma:list="UserInfo" ma:SharePointGroup="0" ma:internalName="PolicyLea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8feae-81c5-4ccf-a782-7a44eb3132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forReview xmlns="f25ec319-21a5-42e6-8e88-575a7acbfc8b">2026-08-30T23:00:00+00:00</DateforReview>
    <No_x002e_ xmlns="f25ec319-21a5-42e6-8e88-575a7acbfc8b">2</No_x002e_>
    <TemporaryPermissions xmlns="f25ec319-21a5-42e6-8e88-575a7acbfc8b">false</TemporaryPermissions>
    <SharedWithUsers xmlns="c3b8feae-81c5-4ccf-a782-7a44eb3132de">
      <UserInfo>
        <DisplayName>Hurst, Debbie</DisplayName>
        <AccountId>238</AccountId>
        <AccountType/>
      </UserInfo>
      <UserInfo>
        <DisplayName>Bailey, David</DisplayName>
        <AccountId>45</AccountId>
        <AccountType/>
      </UserInfo>
      <UserInfo>
        <DisplayName>Kelly, Alison (Legal Services)</DisplayName>
        <AccountId>233</AccountId>
        <AccountType/>
      </UserInfo>
      <UserInfo>
        <DisplayName>Pasha, Zeenat</DisplayName>
        <AccountId>242</AccountId>
        <AccountType/>
      </UserInfo>
    </SharedWithUsers>
    <PolicyLead xmlns="f25ec319-21a5-42e6-8e88-575a7acbfc8b">
      <UserInfo>
        <DisplayName>lisa.butcher@bolton.gov.uk</DisplayName>
        <AccountId>43</AccountId>
        <AccountType/>
      </UserInfo>
    </PolicyLea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70D770-DE8C-4639-87E0-A6E17C9FFD36}">
  <ds:schemaRefs>
    <ds:schemaRef ds:uri="http://schemas.openxmlformats.org/officeDocument/2006/bibliography"/>
  </ds:schemaRefs>
</ds:datastoreItem>
</file>

<file path=customXml/itemProps2.xml><?xml version="1.0" encoding="utf-8"?>
<ds:datastoreItem xmlns:ds="http://schemas.openxmlformats.org/officeDocument/2006/customXml" ds:itemID="{A6AF1898-CFE6-472C-9EB4-182F157F4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ec319-21a5-42e6-8e88-575a7acbfc8b"/>
    <ds:schemaRef ds:uri="c3b8feae-81c5-4ccf-a782-7a44eb313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155CD-CE49-4474-877E-A71B1B9AAA30}">
  <ds:schemaRefs>
    <ds:schemaRef ds:uri="http://schemas.microsoft.com/office/2006/metadata/properties"/>
    <ds:schemaRef ds:uri="http://schemas.microsoft.com/office/infopath/2007/PartnerControls"/>
    <ds:schemaRef ds:uri="f25ec319-21a5-42e6-8e88-575a7acbfc8b"/>
    <ds:schemaRef ds:uri="c3b8feae-81c5-4ccf-a782-7a44eb3132de"/>
  </ds:schemaRefs>
</ds:datastoreItem>
</file>

<file path=customXml/itemProps4.xml><?xml version="1.0" encoding="utf-8"?>
<ds:datastoreItem xmlns:ds="http://schemas.openxmlformats.org/officeDocument/2006/customXml" ds:itemID="{5348A7A9-A567-4860-B092-602B67981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~WRL0001.tmp</Template>
  <TotalTime>2</TotalTime>
  <Pages>1</Pages>
  <Words>3592</Words>
  <Characters>20480</Characters>
  <Application>Microsoft Office Word</Application>
  <DocSecurity>8</DocSecurity>
  <Lines>170</Lines>
  <Paragraphs>48</Paragraphs>
  <ScaleCrop>false</ScaleCrop>
  <Company/>
  <LinksUpToDate>false</LinksUpToDate>
  <CharactersWithSpaces>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Social Care Debt Policy August 2022</dc:title>
  <dc:subject/>
  <dc:creator>Powell, Philip</dc:creator>
  <cp:keywords/>
  <dc:description/>
  <cp:lastModifiedBy>Litchmore, Jessica</cp:lastModifiedBy>
  <cp:revision>87</cp:revision>
  <dcterms:created xsi:type="dcterms:W3CDTF">2024-07-29T15:00:00Z</dcterms:created>
  <dcterms:modified xsi:type="dcterms:W3CDTF">2024-09-24T12:03:00Z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0x010100987F8DFA766E89448C8C660E9F1F0E9D</vt:lpwstr>
  </property>
  <property fmtid="{D5CDD505-2E9C-101B-9397-08002B2CF9AE}" pid="3" name="Topic">
    <vt:lpwstr>6;#Workplace|0eca40e7-1b69-41ab-b4d3-fcac60499f36</vt:lpwstr>
  </property>
  <property fmtid="{D5CDD505-2E9C-101B-9397-08002B2CF9AE}" pid="4" name="Function">
    <vt:lpwstr>30;#Adult Social Care|b5c38c44-ea5b-461a-8ffa-8d5b71eec774</vt:lpwstr>
  </property>
  <property fmtid="{D5CDD505-2E9C-101B-9397-08002B2CF9AE}" pid="5" name="Bolton Document Type">
    <vt:lpwstr>76;#Policies|51b3984c-c9bc-402a-b3c2-bd0e4a50112d</vt:lpwstr>
  </property>
</Properties>
</file>